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D957" w14:textId="204D5D7B" w:rsidR="008810FB" w:rsidRDefault="003F7AF3" w:rsidP="00F43CCA">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w:t>
      </w:r>
      <w:r w:rsidR="007E32CC">
        <w:rPr>
          <w:rFonts w:ascii="Times New Roman" w:hAnsi="Times New Roman" w:cs="Times New Roman"/>
          <w:b/>
          <w:sz w:val="24"/>
          <w:szCs w:val="28"/>
          <w:lang w:eastAsia="sv-SE"/>
        </w:rPr>
        <w:t>2</w:t>
      </w:r>
      <w:r w:rsidR="00466BB3">
        <w:rPr>
          <w:rFonts w:ascii="Times New Roman" w:hAnsi="Times New Roman" w:cs="Times New Roman"/>
          <w:b/>
          <w:sz w:val="24"/>
          <w:szCs w:val="28"/>
          <w:lang w:eastAsia="sv-SE"/>
        </w:rPr>
        <w:t>1</w:t>
      </w:r>
      <w:r>
        <w:rPr>
          <w:rFonts w:ascii="Times New Roman" w:hAnsi="Times New Roman" w:cs="Times New Roman"/>
          <w:b/>
          <w:i/>
          <w:sz w:val="24"/>
          <w:szCs w:val="28"/>
          <w:lang w:eastAsia="sv-SE"/>
        </w:rPr>
        <w:tab/>
      </w:r>
      <w:r w:rsidRPr="009707BF">
        <w:rPr>
          <w:rFonts w:ascii="Times New Roman" w:hAnsi="Times New Roman" w:cs="Times New Roman"/>
          <w:b/>
          <w:sz w:val="28"/>
          <w:szCs w:val="28"/>
          <w:lang w:eastAsia="sv-SE"/>
        </w:rPr>
        <w:t>R3-2</w:t>
      </w:r>
      <w:r w:rsidR="00DE2C18" w:rsidRPr="009707BF">
        <w:rPr>
          <w:rFonts w:ascii="Times New Roman" w:hAnsi="Times New Roman" w:cs="Times New Roman"/>
          <w:b/>
          <w:sz w:val="28"/>
          <w:szCs w:val="28"/>
          <w:lang w:eastAsia="sv-SE"/>
        </w:rPr>
        <w:t>3</w:t>
      </w:r>
      <w:r w:rsidR="009707BF" w:rsidRPr="009707BF">
        <w:rPr>
          <w:rFonts w:ascii="Times New Roman" w:hAnsi="Times New Roman" w:cs="Times New Roman"/>
          <w:b/>
          <w:sz w:val="28"/>
          <w:szCs w:val="28"/>
          <w:lang w:eastAsia="sv-SE"/>
        </w:rPr>
        <w:t>4559</w:t>
      </w:r>
    </w:p>
    <w:p w14:paraId="7F06ADE0" w14:textId="4A5E4C90" w:rsidR="008810FB" w:rsidRDefault="00466BB3" w:rsidP="00F43CCA">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Toulouse, France</w:t>
      </w:r>
      <w:r w:rsidR="003F7AF3">
        <w:rPr>
          <w:rFonts w:ascii="Times New Roman" w:hAnsi="Times New Roman" w:cs="Times New Roman"/>
          <w:b/>
          <w:sz w:val="24"/>
          <w:szCs w:val="28"/>
          <w:lang w:eastAsia="sv-SE"/>
        </w:rPr>
        <w:t xml:space="preserve">, </w:t>
      </w:r>
      <w:r>
        <w:rPr>
          <w:rFonts w:ascii="Times New Roman" w:hAnsi="Times New Roman" w:cs="Times New Roman"/>
          <w:b/>
          <w:sz w:val="24"/>
          <w:szCs w:val="28"/>
          <w:lang w:eastAsia="sv-SE"/>
        </w:rPr>
        <w:t>August 21</w:t>
      </w:r>
      <w:r w:rsidRPr="00466BB3">
        <w:rPr>
          <w:rFonts w:ascii="Times New Roman" w:hAnsi="Times New Roman" w:cs="Times New Roman"/>
          <w:b/>
          <w:sz w:val="24"/>
          <w:szCs w:val="28"/>
          <w:vertAlign w:val="superscript"/>
          <w:lang w:eastAsia="sv-SE"/>
        </w:rPr>
        <w:t>st</w:t>
      </w:r>
      <w:r>
        <w:rPr>
          <w:rFonts w:ascii="Times New Roman" w:hAnsi="Times New Roman" w:cs="Times New Roman"/>
          <w:b/>
          <w:sz w:val="24"/>
          <w:szCs w:val="28"/>
          <w:lang w:eastAsia="sv-SE"/>
        </w:rPr>
        <w:t xml:space="preserve"> – 25</w:t>
      </w:r>
      <w:r w:rsidRPr="00466BB3">
        <w:rPr>
          <w:rFonts w:ascii="Times New Roman" w:hAnsi="Times New Roman" w:cs="Times New Roman"/>
          <w:b/>
          <w:sz w:val="24"/>
          <w:szCs w:val="28"/>
          <w:vertAlign w:val="superscript"/>
          <w:lang w:eastAsia="sv-SE"/>
        </w:rPr>
        <w:t>th</w:t>
      </w:r>
      <w:r w:rsidR="007E32CC">
        <w:rPr>
          <w:rFonts w:ascii="Times New Roman" w:hAnsi="Times New Roman" w:cs="Times New Roman"/>
          <w:b/>
          <w:sz w:val="24"/>
          <w:szCs w:val="28"/>
          <w:lang w:eastAsia="sv-SE"/>
        </w:rPr>
        <w:t xml:space="preserve"> </w:t>
      </w:r>
      <w:r w:rsidR="003F7AF3">
        <w:rPr>
          <w:rFonts w:ascii="Times New Roman" w:hAnsi="Times New Roman" w:cs="Times New Roman"/>
          <w:b/>
          <w:sz w:val="24"/>
          <w:szCs w:val="28"/>
          <w:lang w:eastAsia="sv-SE"/>
        </w:rPr>
        <w:t>202</w:t>
      </w:r>
      <w:r w:rsidR="00400711">
        <w:rPr>
          <w:rFonts w:ascii="Times New Roman" w:hAnsi="Times New Roman" w:cs="Times New Roman"/>
          <w:b/>
          <w:sz w:val="24"/>
          <w:szCs w:val="28"/>
          <w:lang w:eastAsia="sv-SE"/>
        </w:rPr>
        <w:t>3</w:t>
      </w:r>
    </w:p>
    <w:bookmarkEnd w:id="0"/>
    <w:p w14:paraId="3E497152" w14:textId="77777777" w:rsidR="008810FB" w:rsidRDefault="008810FB" w:rsidP="00F43CCA">
      <w:pPr>
        <w:pStyle w:val="3GPPHeader"/>
        <w:spacing w:before="120" w:after="0"/>
        <w:rPr>
          <w:rFonts w:ascii="Times New Roman" w:hAnsi="Times New Roman" w:cs="Times New Roman"/>
          <w:lang w:val="en-GB"/>
        </w:rPr>
      </w:pPr>
    </w:p>
    <w:p w14:paraId="228D35E0" w14:textId="6BA7932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w:t>
      </w:r>
      <w:r w:rsidR="00466BB3">
        <w:rPr>
          <w:rFonts w:ascii="Times New Roman" w:hAnsi="Times New Roman" w:cs="Times New Roman"/>
          <w:lang w:val="en-GB"/>
        </w:rPr>
        <w:t>4</w:t>
      </w:r>
      <w:r w:rsidR="00021474">
        <w:rPr>
          <w:rFonts w:ascii="Times New Roman" w:hAnsi="Times New Roman" w:cs="Times New Roman"/>
          <w:lang w:val="en-GB"/>
        </w:rPr>
        <w:t>.</w:t>
      </w:r>
    </w:p>
    <w:p w14:paraId="1E58991C" w14:textId="7777777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7F68CA1" w14:textId="5E3E91B9"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r>
      <w:r w:rsidR="003B7913" w:rsidRPr="003B7913">
        <w:rPr>
          <w:rFonts w:ascii="Times New Roman" w:hAnsi="Times New Roman" w:cs="Times New Roman"/>
          <w:lang w:val="en-GB"/>
        </w:rPr>
        <w:t>Offline discussion on QoE AI 11.4.</w:t>
      </w:r>
    </w:p>
    <w:p w14:paraId="587DE4F0" w14:textId="7777777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2421CAF6" w14:textId="5A33924F" w:rsidR="006064CD" w:rsidRDefault="006064CD" w:rsidP="00F43CCA">
      <w:pPr>
        <w:pStyle w:val="Heading1"/>
        <w:spacing w:before="120" w:after="0"/>
        <w:rPr>
          <w:rFonts w:ascii="Arial" w:hAnsi="Arial" w:cs="Arial"/>
          <w:lang w:val="en-GB"/>
        </w:rPr>
      </w:pPr>
      <w:r>
        <w:rPr>
          <w:rFonts w:ascii="Arial" w:hAnsi="Arial" w:cs="Arial"/>
          <w:lang w:val="en-GB"/>
        </w:rPr>
        <w:t>For the Chairman notes</w:t>
      </w:r>
    </w:p>
    <w:p w14:paraId="25272457" w14:textId="1492A18D" w:rsidR="00406679" w:rsidRDefault="002B68EC" w:rsidP="002B68EC">
      <w:pPr>
        <w:spacing w:before="120" w:after="0" w:line="240" w:lineRule="auto"/>
        <w:rPr>
          <w:rStyle w:val="Strong"/>
          <w:rFonts w:asciiTheme="minorHAnsi" w:hAnsiTheme="minorHAnsi" w:cstheme="minorHAnsi"/>
          <w:color w:val="00B050"/>
          <w:szCs w:val="22"/>
        </w:rPr>
      </w:pPr>
      <w:r w:rsidRPr="002B68EC">
        <w:rPr>
          <w:rStyle w:val="Strong"/>
          <w:rFonts w:asciiTheme="minorHAnsi" w:hAnsiTheme="minorHAnsi" w:cstheme="minorHAnsi"/>
          <w:color w:val="00B050"/>
          <w:szCs w:val="22"/>
        </w:rPr>
        <w:t>Proposal 1</w:t>
      </w:r>
      <w:r w:rsidR="00406679">
        <w:rPr>
          <w:rStyle w:val="Strong"/>
          <w:rFonts w:asciiTheme="minorHAnsi" w:hAnsiTheme="minorHAnsi" w:cstheme="minorHAnsi"/>
          <w:color w:val="00B050"/>
          <w:szCs w:val="22"/>
        </w:rPr>
        <w:t>-1</w:t>
      </w:r>
      <w:r w:rsidRPr="002B68EC">
        <w:rPr>
          <w:rStyle w:val="Strong"/>
          <w:rFonts w:asciiTheme="minorHAnsi" w:hAnsiTheme="minorHAnsi" w:cstheme="minorHAnsi"/>
          <w:color w:val="00B050"/>
          <w:szCs w:val="22"/>
        </w:rPr>
        <w:t xml:space="preserve">: RVQoE reporting over F1 can be deactivated per UE. </w:t>
      </w:r>
    </w:p>
    <w:p w14:paraId="477FDEEB" w14:textId="6469A5BD" w:rsidR="002B68EC" w:rsidRPr="002B68EC" w:rsidRDefault="00406679" w:rsidP="002B68EC">
      <w:pPr>
        <w:spacing w:before="120" w:after="0" w:line="240" w:lineRule="auto"/>
        <w:rPr>
          <w:rFonts w:asciiTheme="minorHAnsi" w:eastAsiaTheme="minorHAnsi" w:hAnsiTheme="minorHAnsi" w:cstheme="minorHAnsi"/>
          <w:szCs w:val="22"/>
          <w:lang w:eastAsia="en-SE"/>
        </w:rPr>
      </w:pPr>
      <w:r>
        <w:rPr>
          <w:rStyle w:val="Strong"/>
          <w:rFonts w:asciiTheme="minorHAnsi" w:hAnsiTheme="minorHAnsi" w:cstheme="minorHAnsi"/>
          <w:color w:val="00B050"/>
          <w:szCs w:val="22"/>
        </w:rPr>
        <w:t>Proposal 1</w:t>
      </w:r>
      <w:r w:rsidRPr="00406679">
        <w:rPr>
          <w:rStyle w:val="Strong"/>
          <w:rFonts w:asciiTheme="minorHAnsi" w:hAnsiTheme="minorHAnsi" w:cstheme="minorHAnsi"/>
          <w:color w:val="00B050"/>
          <w:szCs w:val="22"/>
        </w:rPr>
        <w:t xml:space="preserve">-2: </w:t>
      </w:r>
      <w:r w:rsidR="007A3235" w:rsidRPr="00406679">
        <w:rPr>
          <w:rStyle w:val="Strong"/>
          <w:rFonts w:asciiTheme="minorHAnsi" w:hAnsiTheme="minorHAnsi" w:cstheme="minorHAnsi"/>
          <w:color w:val="00B050"/>
          <w:szCs w:val="22"/>
        </w:rPr>
        <w:t xml:space="preserve">Decide </w:t>
      </w:r>
      <w:r w:rsidR="000E1F04">
        <w:rPr>
          <w:rStyle w:val="Strong"/>
          <w:rFonts w:asciiTheme="minorHAnsi" w:hAnsiTheme="minorHAnsi" w:cstheme="minorHAnsi"/>
          <w:color w:val="00B050"/>
          <w:szCs w:val="22"/>
        </w:rPr>
        <w:t xml:space="preserve">at the </w:t>
      </w:r>
      <w:r w:rsidR="007A3235" w:rsidRPr="00406679">
        <w:rPr>
          <w:rStyle w:val="Strong"/>
          <w:rFonts w:asciiTheme="minorHAnsi" w:hAnsiTheme="minorHAnsi" w:cstheme="minorHAnsi"/>
          <w:color w:val="00B050"/>
          <w:szCs w:val="22"/>
        </w:rPr>
        <w:t xml:space="preserve">RAN3#121-bis meeting </w:t>
      </w:r>
      <w:r w:rsidR="002146BF" w:rsidRPr="00406679">
        <w:rPr>
          <w:rStyle w:val="Strong"/>
          <w:rFonts w:asciiTheme="minorHAnsi" w:hAnsiTheme="minorHAnsi" w:cstheme="minorHAnsi"/>
          <w:color w:val="00B050"/>
          <w:szCs w:val="22"/>
        </w:rPr>
        <w:t xml:space="preserve">whether the </w:t>
      </w:r>
      <w:r w:rsidR="000E1F04">
        <w:rPr>
          <w:rStyle w:val="Strong"/>
          <w:rFonts w:asciiTheme="minorHAnsi" w:hAnsiTheme="minorHAnsi" w:cstheme="minorHAnsi"/>
          <w:color w:val="00B050"/>
          <w:szCs w:val="22"/>
        </w:rPr>
        <w:t xml:space="preserve">F1AP </w:t>
      </w:r>
      <w:r w:rsidR="002146BF" w:rsidRPr="00406679">
        <w:rPr>
          <w:rStyle w:val="Strong"/>
          <w:rFonts w:asciiTheme="minorHAnsi" w:hAnsiTheme="minorHAnsi" w:cstheme="minorHAnsi"/>
          <w:color w:val="00B050"/>
          <w:szCs w:val="22"/>
        </w:rPr>
        <w:t>procedure</w:t>
      </w:r>
      <w:r w:rsidR="000E1F04">
        <w:rPr>
          <w:rStyle w:val="Strong"/>
          <w:rFonts w:asciiTheme="minorHAnsi" w:hAnsiTheme="minorHAnsi" w:cstheme="minorHAnsi"/>
          <w:color w:val="00B050"/>
          <w:szCs w:val="22"/>
        </w:rPr>
        <w:t xml:space="preserve"> for deactivation of RVQoE reporting</w:t>
      </w:r>
      <w:r w:rsidR="002146BF" w:rsidRPr="00406679">
        <w:rPr>
          <w:rStyle w:val="Strong"/>
          <w:rFonts w:asciiTheme="minorHAnsi" w:hAnsiTheme="minorHAnsi" w:cstheme="minorHAnsi"/>
          <w:color w:val="00B050"/>
          <w:szCs w:val="22"/>
        </w:rPr>
        <w:t xml:space="preserve"> is UE-associated or non-UE-associated.</w:t>
      </w:r>
    </w:p>
    <w:p w14:paraId="3F1AC568" w14:textId="63EBECF0" w:rsidR="002B68EC" w:rsidRPr="002B68EC" w:rsidRDefault="002B68EC" w:rsidP="001C2B4C">
      <w:pPr>
        <w:spacing w:before="120" w:after="0" w:line="240" w:lineRule="auto"/>
        <w:rPr>
          <w:rFonts w:asciiTheme="minorHAnsi" w:hAnsiTheme="minorHAnsi" w:cstheme="minorHAnsi"/>
          <w:b/>
          <w:bCs/>
          <w:color w:val="ED7D31"/>
          <w:szCs w:val="22"/>
        </w:rPr>
      </w:pPr>
      <w:r w:rsidRPr="002B68EC">
        <w:rPr>
          <w:rStyle w:val="Strong"/>
          <w:rFonts w:asciiTheme="minorHAnsi" w:hAnsiTheme="minorHAnsi" w:cstheme="minorHAnsi"/>
          <w:color w:val="00B050"/>
          <w:szCs w:val="22"/>
        </w:rPr>
        <w:t xml:space="preserve">Proposal 2: QoE measurement continuity from NR to LTE/5GC and vice versa can be supported by </w:t>
      </w:r>
      <w:r w:rsidR="00697DE2">
        <w:rPr>
          <w:rStyle w:val="Strong"/>
          <w:rFonts w:asciiTheme="minorHAnsi" w:hAnsiTheme="minorHAnsi" w:cstheme="minorHAnsi"/>
          <w:color w:val="00B050"/>
          <w:szCs w:val="22"/>
        </w:rPr>
        <w:t>the current</w:t>
      </w:r>
      <w:r w:rsidRPr="002B68EC">
        <w:rPr>
          <w:rStyle w:val="Strong"/>
          <w:rFonts w:asciiTheme="minorHAnsi" w:hAnsiTheme="minorHAnsi" w:cstheme="minorHAnsi"/>
          <w:color w:val="00B050"/>
          <w:szCs w:val="22"/>
        </w:rPr>
        <w:t xml:space="preserve"> </w:t>
      </w:r>
      <w:r w:rsidR="00697DE2" w:rsidRPr="00697DE2">
        <w:rPr>
          <w:rStyle w:val="Strong"/>
          <w:rFonts w:asciiTheme="minorHAnsi" w:hAnsiTheme="minorHAnsi" w:cstheme="minorHAnsi"/>
          <w:i/>
          <w:iCs/>
          <w:color w:val="00B050"/>
          <w:szCs w:val="22"/>
        </w:rPr>
        <w:t>A</w:t>
      </w:r>
      <w:r w:rsidRPr="00697DE2">
        <w:rPr>
          <w:rStyle w:val="Strong"/>
          <w:rFonts w:asciiTheme="minorHAnsi" w:hAnsiTheme="minorHAnsi" w:cstheme="minorHAnsi"/>
          <w:i/>
          <w:iCs/>
          <w:color w:val="00B050"/>
          <w:szCs w:val="22"/>
        </w:rPr>
        <w:t xml:space="preserve">rea </w:t>
      </w:r>
      <w:r w:rsidR="00697DE2" w:rsidRPr="00697DE2">
        <w:rPr>
          <w:rStyle w:val="Strong"/>
          <w:rFonts w:asciiTheme="minorHAnsi" w:hAnsiTheme="minorHAnsi" w:cstheme="minorHAnsi"/>
          <w:i/>
          <w:iCs/>
          <w:color w:val="00B050"/>
          <w:szCs w:val="22"/>
        </w:rPr>
        <w:t>S</w:t>
      </w:r>
      <w:r w:rsidRPr="00697DE2">
        <w:rPr>
          <w:rStyle w:val="Strong"/>
          <w:rFonts w:asciiTheme="minorHAnsi" w:hAnsiTheme="minorHAnsi" w:cstheme="minorHAnsi"/>
          <w:i/>
          <w:iCs/>
          <w:color w:val="00B050"/>
          <w:szCs w:val="22"/>
        </w:rPr>
        <w:t>cope</w:t>
      </w:r>
      <w:r w:rsidR="00697DE2" w:rsidRPr="00697DE2">
        <w:rPr>
          <w:rStyle w:val="Strong"/>
          <w:rFonts w:asciiTheme="minorHAnsi" w:hAnsiTheme="minorHAnsi" w:cstheme="minorHAnsi"/>
          <w:i/>
          <w:iCs/>
          <w:color w:val="00B050"/>
          <w:szCs w:val="22"/>
        </w:rPr>
        <w:t xml:space="preserve"> for QMC</w:t>
      </w:r>
      <w:r w:rsidRPr="002B68EC">
        <w:rPr>
          <w:rStyle w:val="Strong"/>
          <w:rFonts w:asciiTheme="minorHAnsi" w:hAnsiTheme="minorHAnsi" w:cstheme="minorHAnsi"/>
          <w:color w:val="00B050"/>
          <w:szCs w:val="22"/>
        </w:rPr>
        <w:t xml:space="preserve"> </w:t>
      </w:r>
      <w:r w:rsidR="00697DE2">
        <w:rPr>
          <w:rStyle w:val="Strong"/>
          <w:rFonts w:asciiTheme="minorHAnsi" w:hAnsiTheme="minorHAnsi" w:cstheme="minorHAnsi"/>
          <w:color w:val="00B050"/>
          <w:szCs w:val="22"/>
        </w:rPr>
        <w:t>IE</w:t>
      </w:r>
      <w:r w:rsidRPr="002B68EC">
        <w:rPr>
          <w:rStyle w:val="Strong"/>
          <w:rFonts w:asciiTheme="minorHAnsi" w:hAnsiTheme="minorHAnsi" w:cstheme="minorHAnsi"/>
          <w:color w:val="00B050"/>
          <w:szCs w:val="22"/>
        </w:rPr>
        <w:t>.</w:t>
      </w:r>
      <w:r w:rsidRPr="002B68EC">
        <w:rPr>
          <w:rStyle w:val="Strong"/>
          <w:rFonts w:asciiTheme="minorHAnsi" w:hAnsiTheme="minorHAnsi" w:cstheme="minorHAnsi"/>
          <w:color w:val="0070C0"/>
          <w:szCs w:val="22"/>
        </w:rPr>
        <w:t xml:space="preserve"> </w:t>
      </w:r>
    </w:p>
    <w:p w14:paraId="6388F933" w14:textId="590BC31C" w:rsidR="0098716E" w:rsidRPr="00913C98" w:rsidRDefault="00F50DEF" w:rsidP="002B68EC">
      <w:pPr>
        <w:spacing w:before="120" w:after="0" w:line="240" w:lineRule="auto"/>
        <w:rPr>
          <w:rStyle w:val="Strong"/>
          <w:rFonts w:asciiTheme="minorHAnsi" w:hAnsiTheme="minorHAnsi" w:cstheme="minorHAnsi"/>
          <w:color w:val="0070C0"/>
          <w:szCs w:val="22"/>
        </w:rPr>
      </w:pPr>
      <w:r w:rsidRPr="00913C98">
        <w:rPr>
          <w:rStyle w:val="Strong"/>
          <w:rFonts w:asciiTheme="minorHAnsi" w:hAnsiTheme="minorHAnsi" w:cstheme="minorHAnsi"/>
          <w:color w:val="0070C0"/>
          <w:szCs w:val="22"/>
        </w:rPr>
        <w:t xml:space="preserve">Discuss whether </w:t>
      </w:r>
      <w:r w:rsidR="003F1889" w:rsidRPr="00913C98">
        <w:rPr>
          <w:rStyle w:val="Strong"/>
          <w:rFonts w:asciiTheme="minorHAnsi" w:hAnsiTheme="minorHAnsi" w:cstheme="minorHAnsi"/>
          <w:color w:val="0070C0"/>
          <w:szCs w:val="22"/>
        </w:rPr>
        <w:t>a</w:t>
      </w:r>
      <w:r w:rsidR="00BE7C1D">
        <w:rPr>
          <w:rStyle w:val="Strong"/>
          <w:rFonts w:asciiTheme="minorHAnsi" w:hAnsiTheme="minorHAnsi" w:cstheme="minorHAnsi"/>
          <w:color w:val="0070C0"/>
          <w:szCs w:val="22"/>
        </w:rPr>
        <w:t>nd how a</w:t>
      </w:r>
      <w:r w:rsidR="003F1889" w:rsidRPr="00913C98">
        <w:rPr>
          <w:rStyle w:val="Strong"/>
          <w:rFonts w:asciiTheme="minorHAnsi" w:hAnsiTheme="minorHAnsi" w:cstheme="minorHAnsi"/>
          <w:color w:val="0070C0"/>
          <w:szCs w:val="22"/>
        </w:rPr>
        <w:t xml:space="preserve"> source NR node</w:t>
      </w:r>
      <w:r w:rsidR="00BE7C1D">
        <w:rPr>
          <w:rStyle w:val="Strong"/>
          <w:rFonts w:asciiTheme="minorHAnsi" w:hAnsiTheme="minorHAnsi" w:cstheme="minorHAnsi"/>
          <w:color w:val="0070C0"/>
          <w:szCs w:val="22"/>
        </w:rPr>
        <w:t xml:space="preserve"> for handover from NR to LTE/5GC </w:t>
      </w:r>
      <w:r w:rsidR="00353F12">
        <w:rPr>
          <w:rStyle w:val="Strong"/>
          <w:rFonts w:asciiTheme="minorHAnsi" w:hAnsiTheme="minorHAnsi" w:cstheme="minorHAnsi"/>
          <w:color w:val="0070C0"/>
          <w:szCs w:val="22"/>
        </w:rPr>
        <w:t xml:space="preserve">can </w:t>
      </w:r>
      <w:r w:rsidRPr="00913C98">
        <w:rPr>
          <w:rStyle w:val="Strong"/>
          <w:rFonts w:asciiTheme="minorHAnsi" w:hAnsiTheme="minorHAnsi" w:cstheme="minorHAnsi"/>
          <w:color w:val="0070C0"/>
          <w:szCs w:val="22"/>
        </w:rPr>
        <w:t xml:space="preserve">determine </w:t>
      </w:r>
      <w:r w:rsidR="00F729BD">
        <w:rPr>
          <w:rStyle w:val="Strong"/>
          <w:rFonts w:asciiTheme="minorHAnsi" w:hAnsiTheme="minorHAnsi" w:cstheme="minorHAnsi"/>
          <w:color w:val="0070C0"/>
          <w:szCs w:val="22"/>
        </w:rPr>
        <w:t>for</w:t>
      </w:r>
      <w:r w:rsidR="00353F12">
        <w:rPr>
          <w:rStyle w:val="Strong"/>
          <w:rFonts w:asciiTheme="minorHAnsi" w:hAnsiTheme="minorHAnsi" w:cstheme="minorHAnsi"/>
          <w:color w:val="0070C0"/>
          <w:szCs w:val="22"/>
        </w:rPr>
        <w:t xml:space="preserve"> </w:t>
      </w:r>
      <w:r w:rsidRPr="00913C98">
        <w:rPr>
          <w:rStyle w:val="Strong"/>
          <w:rFonts w:asciiTheme="minorHAnsi" w:hAnsiTheme="minorHAnsi" w:cstheme="minorHAnsi"/>
          <w:color w:val="0070C0"/>
          <w:szCs w:val="22"/>
        </w:rPr>
        <w:t>wh</w:t>
      </w:r>
      <w:r w:rsidR="00BE7C1D">
        <w:rPr>
          <w:rStyle w:val="Strong"/>
          <w:rFonts w:asciiTheme="minorHAnsi" w:hAnsiTheme="minorHAnsi" w:cstheme="minorHAnsi"/>
          <w:color w:val="0070C0"/>
          <w:szCs w:val="22"/>
        </w:rPr>
        <w:t xml:space="preserve">ich service type(s) the UE supports </w:t>
      </w:r>
      <w:r w:rsidR="00F729BD">
        <w:rPr>
          <w:rStyle w:val="Strong"/>
          <w:rFonts w:asciiTheme="minorHAnsi" w:hAnsiTheme="minorHAnsi" w:cstheme="minorHAnsi"/>
          <w:color w:val="0070C0"/>
          <w:szCs w:val="22"/>
        </w:rPr>
        <w:t xml:space="preserve">QoE measurements in </w:t>
      </w:r>
      <w:r w:rsidR="00197096" w:rsidRPr="00913C98">
        <w:rPr>
          <w:rStyle w:val="Strong"/>
          <w:rFonts w:asciiTheme="minorHAnsi" w:hAnsiTheme="minorHAnsi" w:cstheme="minorHAnsi"/>
          <w:color w:val="0070C0"/>
          <w:szCs w:val="22"/>
        </w:rPr>
        <w:t>LTE/5GC.</w:t>
      </w:r>
    </w:p>
    <w:p w14:paraId="6BC4E542" w14:textId="3519BF49" w:rsidR="003F1889" w:rsidRPr="002B68EC" w:rsidRDefault="003F1889" w:rsidP="002B68EC">
      <w:pPr>
        <w:spacing w:before="120" w:after="0" w:line="240" w:lineRule="auto"/>
        <w:rPr>
          <w:rFonts w:asciiTheme="minorHAnsi" w:hAnsiTheme="minorHAnsi" w:cstheme="minorHAnsi"/>
          <w:szCs w:val="22"/>
        </w:rPr>
      </w:pPr>
      <w:r>
        <w:rPr>
          <w:rStyle w:val="Strong"/>
          <w:rFonts w:asciiTheme="minorHAnsi" w:hAnsiTheme="minorHAnsi" w:cstheme="minorHAnsi"/>
          <w:color w:val="00B050"/>
          <w:szCs w:val="22"/>
        </w:rPr>
        <w:t>Proposal 3:</w:t>
      </w:r>
      <w:r w:rsidR="00FD7021">
        <w:rPr>
          <w:rStyle w:val="Strong"/>
          <w:rFonts w:asciiTheme="minorHAnsi" w:hAnsiTheme="minorHAnsi" w:cstheme="minorHAnsi"/>
          <w:color w:val="00B050"/>
          <w:szCs w:val="22"/>
        </w:rPr>
        <w:t xml:space="preserve"> The scenario where a UE is handed over from NR to LTE/5GC and then back to NR is not considered in the context of </w:t>
      </w:r>
      <w:r w:rsidR="007C6EBF" w:rsidRPr="007C6EBF">
        <w:rPr>
          <w:rStyle w:val="Strong"/>
          <w:rFonts w:asciiTheme="minorHAnsi" w:hAnsiTheme="minorHAnsi" w:cstheme="minorHAnsi"/>
          <w:color w:val="00B050"/>
          <w:szCs w:val="22"/>
        </w:rPr>
        <w:t>continuity of QoE measurements during intra-5GC inter-RAT HO</w:t>
      </w:r>
      <w:r w:rsidR="007C6EBF">
        <w:rPr>
          <w:rStyle w:val="Strong"/>
          <w:rFonts w:asciiTheme="minorHAnsi" w:hAnsiTheme="minorHAnsi" w:cstheme="minorHAnsi"/>
          <w:color w:val="00B050"/>
          <w:szCs w:val="22"/>
        </w:rPr>
        <w:t>.</w:t>
      </w:r>
    </w:p>
    <w:p w14:paraId="52765A94" w14:textId="3F9D7099" w:rsidR="002B68EC" w:rsidRDefault="002B68EC" w:rsidP="002B68EC">
      <w:pPr>
        <w:spacing w:before="120" w:after="0" w:line="240" w:lineRule="auto"/>
        <w:rPr>
          <w:rStyle w:val="Strong"/>
          <w:rFonts w:asciiTheme="minorHAnsi" w:hAnsiTheme="minorHAnsi" w:cstheme="minorHAnsi"/>
          <w:color w:val="00B050"/>
          <w:szCs w:val="22"/>
        </w:rPr>
      </w:pPr>
      <w:r w:rsidRPr="002B68EC">
        <w:rPr>
          <w:rStyle w:val="Strong"/>
          <w:rFonts w:asciiTheme="minorHAnsi" w:hAnsiTheme="minorHAnsi" w:cstheme="minorHAnsi"/>
          <w:color w:val="00B050"/>
          <w:szCs w:val="22"/>
        </w:rPr>
        <w:t xml:space="preserve">Proposal 4: HO from LTE/5GC to NR can be supported </w:t>
      </w:r>
      <w:r w:rsidR="00EC1057">
        <w:rPr>
          <w:rStyle w:val="Strong"/>
          <w:rFonts w:asciiTheme="minorHAnsi" w:hAnsiTheme="minorHAnsi" w:cstheme="minorHAnsi"/>
          <w:color w:val="00B050"/>
          <w:szCs w:val="22"/>
        </w:rPr>
        <w:t>without</w:t>
      </w:r>
      <w:r w:rsidRPr="002B68EC">
        <w:rPr>
          <w:rStyle w:val="Strong"/>
          <w:rFonts w:asciiTheme="minorHAnsi" w:hAnsiTheme="minorHAnsi" w:cstheme="minorHAnsi"/>
          <w:color w:val="00B050"/>
          <w:szCs w:val="22"/>
        </w:rPr>
        <w:t xml:space="preserve"> RAN3</w:t>
      </w:r>
      <w:r w:rsidR="00EC1057">
        <w:rPr>
          <w:rStyle w:val="Strong"/>
          <w:rFonts w:asciiTheme="minorHAnsi" w:hAnsiTheme="minorHAnsi" w:cstheme="minorHAnsi"/>
          <w:color w:val="00B050"/>
          <w:szCs w:val="22"/>
        </w:rPr>
        <w:t xml:space="preserve"> impact</w:t>
      </w:r>
      <w:r w:rsidRPr="002B68EC">
        <w:rPr>
          <w:rStyle w:val="Strong"/>
          <w:rFonts w:asciiTheme="minorHAnsi" w:hAnsiTheme="minorHAnsi" w:cstheme="minorHAnsi"/>
          <w:color w:val="00B050"/>
          <w:szCs w:val="22"/>
        </w:rPr>
        <w:t>.</w:t>
      </w:r>
    </w:p>
    <w:p w14:paraId="750D4AB3" w14:textId="77777777" w:rsidR="00A5314A" w:rsidRDefault="00A5314A" w:rsidP="002B68EC">
      <w:pPr>
        <w:spacing w:before="120" w:after="0" w:line="240" w:lineRule="auto"/>
        <w:rPr>
          <w:rStyle w:val="Strong"/>
          <w:rFonts w:asciiTheme="minorHAnsi" w:hAnsiTheme="minorHAnsi" w:cstheme="minorHAnsi"/>
          <w:color w:val="00B050"/>
          <w:szCs w:val="22"/>
        </w:rPr>
      </w:pPr>
    </w:p>
    <w:p w14:paraId="1EFCCC92" w14:textId="732CAF2D" w:rsidR="00F50DEF" w:rsidRDefault="00F50DEF" w:rsidP="00F50DEF">
      <w:pPr>
        <w:pStyle w:val="Heading1"/>
        <w:spacing w:before="120" w:after="0"/>
        <w:rPr>
          <w:rFonts w:ascii="Arial" w:hAnsi="Arial" w:cs="Arial"/>
          <w:lang w:val="en-GB"/>
        </w:rPr>
      </w:pPr>
      <w:r>
        <w:rPr>
          <w:rFonts w:ascii="Arial" w:hAnsi="Arial" w:cs="Arial"/>
          <w:lang w:val="en-GB"/>
        </w:rPr>
        <w:t>Company replies</w:t>
      </w:r>
    </w:p>
    <w:p w14:paraId="3BA08723" w14:textId="77777777" w:rsidR="00A5314A" w:rsidRPr="00A5314A" w:rsidRDefault="00A5314A" w:rsidP="00A5314A">
      <w:pPr>
        <w:spacing w:before="120" w:after="0"/>
        <w:rPr>
          <w:rFonts w:asciiTheme="minorHAnsi" w:eastAsiaTheme="minorHAnsi" w:hAnsiTheme="minorHAnsi" w:cstheme="minorHAnsi"/>
          <w:szCs w:val="22"/>
          <w:lang w:eastAsia="en-SE"/>
        </w:rPr>
      </w:pPr>
      <w:r w:rsidRPr="00A5314A">
        <w:rPr>
          <w:rStyle w:val="Strong"/>
          <w:rFonts w:asciiTheme="minorHAnsi" w:hAnsiTheme="minorHAnsi" w:cstheme="minorHAnsi"/>
          <w:color w:val="00B050"/>
        </w:rPr>
        <w:t xml:space="preserve">Proposal 1: RVQoE reporting over F1 can be deactivated per UE. </w:t>
      </w:r>
      <w:r w:rsidRPr="00A5314A">
        <w:rPr>
          <w:rStyle w:val="Strong"/>
          <w:rFonts w:asciiTheme="minorHAnsi" w:hAnsiTheme="minorHAnsi" w:cstheme="minorHAnsi"/>
          <w:color w:val="0070C0"/>
        </w:rPr>
        <w:t>Procedure used is FFS.</w:t>
      </w:r>
    </w:p>
    <w:p w14:paraId="186D23A2"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70C0"/>
        </w:rPr>
        <w:t>[SS] We think the procedure should be UE-aasociated in order to maintain the future proofness. (If we would like to deactivete the RVQoE reporting over F1 in a more granular way in the future.)</w:t>
      </w:r>
    </w:p>
    <w:p w14:paraId="2DFCB021"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rPr>
        <w:t xml:space="preserve">[Nokia]: We believe we need a step by step approach and not complexify too much F1AP for RVQoE in this release. As discussed offline we could consider as a compromise a procedure to both deactivate and resume RVQoE reporting for the entire DU or possibly some finer granularity (like per cell). The name of such class 2 procedure could be e.g. QoE Report Control Indication. Making the procedure UE-associated will oblige the DU to always perform deactivation per UE. There are examples of non-UE </w:t>
      </w:r>
      <w:r w:rsidRPr="00A5314A">
        <w:rPr>
          <w:rFonts w:asciiTheme="minorHAnsi" w:hAnsiTheme="minorHAnsi" w:cstheme="minorHAnsi"/>
        </w:rPr>
        <w:lastRenderedPageBreak/>
        <w:t>associated procedures that may include a list of UE IDs, so a non-UE associated procedure seems more flexible and could in later release be enhanced to include such list of UE IDs if needed.</w:t>
      </w:r>
    </w:p>
    <w:p w14:paraId="51FDB742"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7030A0"/>
          <w:sz w:val="20"/>
          <w:szCs w:val="20"/>
        </w:rPr>
        <w:t>[Lenovo]: Fine with the proposal.</w:t>
      </w:r>
    </w:p>
    <w:p w14:paraId="0D6C2D94" w14:textId="77777777" w:rsidR="00A5314A" w:rsidRPr="00A5314A" w:rsidRDefault="00A5314A" w:rsidP="00A5314A">
      <w:pPr>
        <w:spacing w:before="120" w:after="0"/>
        <w:rPr>
          <w:rStyle w:val="Strong"/>
          <w:rFonts w:asciiTheme="minorHAnsi" w:hAnsiTheme="minorHAnsi" w:cstheme="minorHAnsi"/>
          <w:color w:val="000000"/>
          <w:sz w:val="20"/>
          <w:szCs w:val="20"/>
          <w:lang w:val="en-SE"/>
        </w:rPr>
      </w:pPr>
      <w:r w:rsidRPr="00A5314A">
        <w:rPr>
          <w:rStyle w:val="Strong"/>
          <w:rFonts w:asciiTheme="minorHAnsi" w:hAnsiTheme="minorHAnsi" w:cstheme="minorHAnsi"/>
          <w:color w:val="000000"/>
          <w:sz w:val="20"/>
          <w:szCs w:val="20"/>
        </w:rPr>
        <w:t>[ZTE]:  we were a propponent for the non-UE associated procedure, but okay to go with this per-UE level RVQoE deactivation, soncidering the QoE information transfer from CU to DU is per UE. Why the last FFS part is needed? It was already agreed to use class-2 message, and with the new agreement this meeting, hopefully the procedure could be decided as well. </w:t>
      </w:r>
    </w:p>
    <w:p w14:paraId="0A1D4F00" w14:textId="77777777" w:rsidR="00A5314A" w:rsidRPr="00A5314A" w:rsidRDefault="00A5314A" w:rsidP="00A5314A">
      <w:pPr>
        <w:spacing w:before="120" w:after="0"/>
        <w:ind w:right="720"/>
        <w:rPr>
          <w:rFonts w:asciiTheme="minorHAnsi" w:hAnsiTheme="minorHAnsi" w:cstheme="minorHAnsi"/>
          <w:color w:val="ED7D31"/>
          <w:szCs w:val="22"/>
        </w:rPr>
      </w:pPr>
      <w:r w:rsidRPr="00A5314A">
        <w:rPr>
          <w:rFonts w:asciiTheme="minorHAnsi" w:hAnsiTheme="minorHAnsi" w:cstheme="minorHAnsi"/>
          <w:b/>
          <w:bCs/>
          <w:color w:val="ED7D31"/>
          <w:sz w:val="20"/>
          <w:szCs w:val="20"/>
        </w:rPr>
        <w:t>[Xiaomi] according to offline discussion, we think both per UE deactivation and per DU deactivation are possible, it is possible that DU is not interested in RVQoE information if it has no resource limitation, it can allocate enough resources for all the UEs, RVQoE information is not useful anymore.  We may need to define a procedure that support both cases, Nokia’s compromise procedure is fine to us.</w:t>
      </w:r>
    </w:p>
    <w:p w14:paraId="216C6A60" w14:textId="77777777" w:rsidR="00A5314A" w:rsidRPr="00A5314A" w:rsidRDefault="00A5314A" w:rsidP="00A5314A">
      <w:pPr>
        <w:spacing w:before="120" w:after="0"/>
        <w:rPr>
          <w:rFonts w:asciiTheme="minorHAnsi" w:hAnsiTheme="minorHAnsi" w:cstheme="minorHAnsi"/>
        </w:rPr>
      </w:pPr>
    </w:p>
    <w:p w14:paraId="5739A144" w14:textId="77777777" w:rsidR="00A5314A" w:rsidRPr="00A5314A" w:rsidRDefault="00A5314A" w:rsidP="00A5314A">
      <w:pPr>
        <w:spacing w:before="120" w:after="0"/>
        <w:ind w:right="720"/>
        <w:rPr>
          <w:rFonts w:asciiTheme="minorHAnsi" w:hAnsiTheme="minorHAnsi" w:cstheme="minorHAnsi"/>
        </w:rPr>
      </w:pPr>
      <w:r w:rsidRPr="00A5314A">
        <w:rPr>
          <w:rStyle w:val="Strong"/>
          <w:rFonts w:asciiTheme="minorHAnsi" w:hAnsiTheme="minorHAnsi" w:cstheme="minorHAnsi"/>
        </w:rPr>
        <w:t> </w:t>
      </w:r>
    </w:p>
    <w:p w14:paraId="58EC96FA"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B050"/>
        </w:rPr>
        <w:t>Proposal 2: QoE measurement continuity from NR to LTE/5GC and vice versa can be supported by setting the area scope to PLMN-wide.</w:t>
      </w:r>
      <w:r w:rsidRPr="00A5314A">
        <w:rPr>
          <w:rStyle w:val="Strong"/>
          <w:rFonts w:asciiTheme="minorHAnsi" w:hAnsiTheme="minorHAnsi" w:cstheme="minorHAnsi"/>
          <w:color w:val="0070C0"/>
        </w:rPr>
        <w:t xml:space="preserve"> FFS whether enhancements are needed.</w:t>
      </w:r>
    </w:p>
    <w:p w14:paraId="0768D688" w14:textId="77777777" w:rsidR="00A5314A" w:rsidRPr="00A5314A" w:rsidRDefault="00A5314A" w:rsidP="00A5314A">
      <w:pPr>
        <w:numPr>
          <w:ilvl w:val="0"/>
          <w:numId w:val="28"/>
        </w:numPr>
        <w:spacing w:before="120" w:after="0" w:line="240" w:lineRule="auto"/>
        <w:rPr>
          <w:rFonts w:asciiTheme="minorHAnsi" w:eastAsia="Times New Roman" w:hAnsiTheme="minorHAnsi" w:cstheme="minorHAnsi"/>
        </w:rPr>
      </w:pPr>
      <w:r w:rsidRPr="00A5314A">
        <w:rPr>
          <w:rFonts w:asciiTheme="minorHAnsi" w:eastAsia="Times New Roman" w:hAnsiTheme="minorHAnsi" w:cstheme="minorHAnsi"/>
          <w:color w:val="FF0000"/>
        </w:rPr>
        <w:t xml:space="preserve">Moderator: this proposal </w:t>
      </w:r>
      <w:r w:rsidRPr="00A5314A">
        <w:rPr>
          <w:rFonts w:asciiTheme="minorHAnsi" w:eastAsia="Times New Roman" w:hAnsiTheme="minorHAnsi" w:cstheme="minorHAnsi"/>
          <w:color w:val="FF0000"/>
          <w:u w:val="single"/>
        </w:rPr>
        <w:t>does not</w:t>
      </w:r>
      <w:r w:rsidRPr="00A5314A">
        <w:rPr>
          <w:rFonts w:asciiTheme="minorHAnsi" w:eastAsia="Times New Roman" w:hAnsiTheme="minorHAnsi" w:cstheme="minorHAnsi"/>
          <w:color w:val="FF0000"/>
        </w:rPr>
        <w:t xml:space="preserve"> exclude the proposal to extend the area scope with E-UTRA-specific choices. That is the FFS part.</w:t>
      </w:r>
    </w:p>
    <w:p w14:paraId="5BFACD7C" w14:textId="77777777" w:rsidR="00A5314A" w:rsidRPr="00A5314A" w:rsidRDefault="00A5314A" w:rsidP="00A5314A">
      <w:pPr>
        <w:spacing w:before="120" w:after="0"/>
        <w:rPr>
          <w:rFonts w:asciiTheme="minorHAnsi" w:eastAsiaTheme="minorHAnsi" w:hAnsiTheme="minorHAnsi" w:cstheme="minorHAnsi"/>
        </w:rPr>
      </w:pPr>
      <w:r w:rsidRPr="00A5314A">
        <w:rPr>
          <w:rStyle w:val="Strong"/>
          <w:rFonts w:asciiTheme="minorHAnsi" w:hAnsiTheme="minorHAnsi" w:cstheme="minorHAnsi"/>
          <w:color w:val="1F497D"/>
          <w:sz w:val="21"/>
          <w:szCs w:val="21"/>
        </w:rPr>
        <w:t>[HW]: area scope is already option, we can simply not bring this IE.</w:t>
      </w:r>
    </w:p>
    <w:p w14:paraId="3FAA031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 xml:space="preserve">[SS] Maybe not. What is the difference between adding a new PLMN-wide indication and reusing the existing CHOICE branch PLMN list? </w:t>
      </w:r>
    </w:p>
    <w:p w14:paraId="78453230"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[China Unicom] We also support to reuse the current area scope configuration.</w:t>
      </w:r>
    </w:p>
    <w:p w14:paraId="11A35B6B"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color w:val="1F497D"/>
          <w:sz w:val="21"/>
          <w:szCs w:val="21"/>
        </w:rPr>
        <w:t>[CATT] we also think we use the existing one</w:t>
      </w:r>
    </w:p>
    <w:p w14:paraId="42F6D4A3"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7030A0"/>
          <w:sz w:val="20"/>
          <w:szCs w:val="20"/>
        </w:rPr>
        <w:t>[Lenovo]: fine.</w:t>
      </w:r>
    </w:p>
    <w:p w14:paraId="124856F8"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00"/>
          <w:sz w:val="20"/>
          <w:szCs w:val="20"/>
        </w:rPr>
        <w:t>[ZTE]: Maybe no. </w:t>
      </w:r>
    </w:p>
    <w:p w14:paraId="7C3D3531" w14:textId="77777777" w:rsidR="00A5314A" w:rsidRPr="00A5314A" w:rsidRDefault="00A5314A" w:rsidP="00A5314A">
      <w:pPr>
        <w:spacing w:before="120" w:after="0"/>
        <w:rPr>
          <w:rFonts w:asciiTheme="minorHAnsi" w:hAnsiTheme="minorHAnsi" w:cstheme="minorHAnsi"/>
          <w:b/>
          <w:bCs/>
          <w:color w:val="ED7D31"/>
          <w:sz w:val="20"/>
          <w:szCs w:val="20"/>
        </w:rPr>
      </w:pPr>
      <w:r w:rsidRPr="00A5314A">
        <w:rPr>
          <w:rFonts w:asciiTheme="minorHAnsi" w:hAnsiTheme="minorHAnsi" w:cstheme="minorHAnsi"/>
          <w:color w:val="002060"/>
          <w:sz w:val="20"/>
          <w:szCs w:val="20"/>
        </w:rPr>
        <w:t> </w:t>
      </w:r>
      <w:r w:rsidRPr="00A5314A">
        <w:rPr>
          <w:rFonts w:asciiTheme="minorHAnsi" w:hAnsiTheme="minorHAnsi" w:cstheme="minorHAnsi"/>
          <w:b/>
          <w:bCs/>
          <w:color w:val="ED7D31"/>
          <w:sz w:val="20"/>
          <w:szCs w:val="20"/>
        </w:rPr>
        <w:t>[Xiaomi]OK</w:t>
      </w:r>
    </w:p>
    <w:p w14:paraId="532E957B" w14:textId="77777777" w:rsidR="00A5314A" w:rsidRPr="00A5314A" w:rsidRDefault="00A5314A" w:rsidP="00A5314A">
      <w:pPr>
        <w:spacing w:before="120" w:after="0"/>
        <w:rPr>
          <w:rFonts w:asciiTheme="minorHAnsi" w:hAnsiTheme="minorHAnsi" w:cstheme="minorHAnsi"/>
          <w:szCs w:val="22"/>
        </w:rPr>
      </w:pPr>
    </w:p>
    <w:p w14:paraId="3D29731D"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B050"/>
        </w:rPr>
        <w:t>Proposal 3: Turn the following WA to agreement: “WA: From NR to LTE, the source node adapts to the target node on deciding which one of the QoE configuration to keep.”</w:t>
      </w:r>
    </w:p>
    <w:p w14:paraId="7A31FACB"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 xml:space="preserve">[HW]: There are still concerns to be addressed before turning it into agreement. </w:t>
      </w:r>
    </w:p>
    <w:p w14:paraId="6A6F471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lastRenderedPageBreak/>
        <w:t>First, only the target node knows whether UE support the QoE measurement in the target RAT, how can source node know that? The source RAT node will not read the UE capabilities of other RATs. There are however cases that UE support QoE measurement of one service type in NR but does not support the QoE measurement of the same service type in LTE. In which case, the source node cannot decide which QoE measurement to keep.</w:t>
      </w:r>
    </w:p>
    <w:p w14:paraId="4A07153F"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Second, with source node to decide, how to handle the case that UE moves back to NR? If we let target to decide, source NR node can send all the s-based QoE measurements configuration container to target LTE node (which will be stored by target), and the target node can send all these containers to new target NR node again to maintain the QoE measurements for others if UE moves back to NR node.</w:t>
      </w:r>
    </w:p>
    <w:p w14:paraId="0CC6EE34"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 xml:space="preserve">Third, the main concern to let target decide seems some companies believe there are LTE impacts. However, this is not true. Indeed in legacy LTE cases, the target uses the configuration in RRC Handover Preparation message defined in 36.331 to know what has been configured to UE by the source. But here, for inter-RAT mobility, from NR to LTE, we don’t need to fill this part (don’t need to include the QoE related configuration in ASConfig). Instead, source sends all s-based configuration to target directly, and target decide which one to keep and configure this one to the UE in the handover command, and inform source to release the others. Then we have no LTE impacts </w:t>
      </w:r>
    </w:p>
    <w:p w14:paraId="46ACEBF9"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 </w:t>
      </w:r>
    </w:p>
    <w:p w14:paraId="72E59A4D" w14:textId="5F004662"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b/>
          <w:bCs/>
          <w:noProof/>
          <w:color w:val="1F497D"/>
          <w:sz w:val="21"/>
          <w:szCs w:val="21"/>
        </w:rPr>
        <w:drawing>
          <wp:inline distT="0" distB="0" distL="0" distR="0" wp14:anchorId="39C0FC6C" wp14:editId="62D6A18B">
            <wp:extent cx="5585460" cy="2426970"/>
            <wp:effectExtent l="0" t="0" r="15240"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85460" cy="2426970"/>
                    </a:xfrm>
                    <a:prstGeom prst="rect">
                      <a:avLst/>
                    </a:prstGeom>
                    <a:noFill/>
                    <a:ln>
                      <a:noFill/>
                    </a:ln>
                  </pic:spPr>
                </pic:pic>
              </a:graphicData>
            </a:graphic>
          </wp:inline>
        </w:drawing>
      </w:r>
    </w:p>
    <w:p w14:paraId="6D5D7CEC"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color w:val="000000"/>
        </w:rPr>
        <w:t> </w:t>
      </w:r>
    </w:p>
    <w:p w14:paraId="368E5ACD"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1F497D"/>
          <w:sz w:val="21"/>
          <w:szCs w:val="21"/>
        </w:rPr>
        <w:t>[SS] We support this proposal. If we let the target LTE node to decide, it will add extra function (on deciding which one of the QoE configuration to keep) to the target LTE node, which in our understanding is the extra impact brought to the LTE node.</w:t>
      </w:r>
    </w:p>
    <w:p w14:paraId="0E3E4810"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[China Unicom] We support to turn this WA to agreement for the following reasons:</w:t>
      </w:r>
    </w:p>
    <w:p w14:paraId="065F3C4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1. The source can decide which QoE reporting is the most important for the network;</w:t>
      </w:r>
    </w:p>
    <w:p w14:paraId="0E97EE39"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lastRenderedPageBreak/>
        <w:t>2. There is only one QoE configuration can be included in the AS-Config-&gt;sourceOtherConfig-r9-&gt;measConfigAppLayer-r15 considering there will be no impact for the 36.331;</w:t>
      </w:r>
    </w:p>
    <w:p w14:paraId="759ABB4C"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rPr>
        <w:t> </w:t>
      </w:r>
    </w:p>
    <w:p w14:paraId="4C10547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Considering Huawei's concern for whether the target can support the QoE configuration, we propose to include all the s-based QoE configuration in the UE Application Layer Measurement Configuration Information information defined in 38.413 and 38.423, then:</w:t>
      </w:r>
    </w:p>
    <w:p w14:paraId="29850477"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1. If the QoE configuration which is adopted by source in AS-Config-&gt;sourceOtherConfig-r9-&gt;measConfigAppLayer-r15 is not supported by the target, the target can select other s-based QoE configuratrion;</w:t>
      </w:r>
    </w:p>
    <w:p w14:paraId="6F091BA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00FF"/>
        </w:rPr>
        <w:t>2. When the  UE move back to NR, all the QoE configuration can be maintained.</w:t>
      </w:r>
    </w:p>
    <w:p w14:paraId="4B76A804"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color w:val="1F497D"/>
          <w:sz w:val="21"/>
          <w:szCs w:val="21"/>
        </w:rPr>
        <w:t>[CATT] we have same understanding as HW, to China Unicom, if the source include all configuration in HO  and target chose one, it is not align the proposal. . My  supported solution is similar  as china Unicom, i.e. the source send all the configuration to target 5GC/LTE with one indication for most wanted configuration, then the target  select one.</w:t>
      </w:r>
    </w:p>
    <w:p w14:paraId="22186CE8"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7030A0"/>
          <w:sz w:val="21"/>
          <w:szCs w:val="21"/>
        </w:rPr>
        <w:t>[Lenovo]: Agree. We can discuss the detailed solution next meeting.</w:t>
      </w:r>
    </w:p>
    <w:p w14:paraId="1E16D6C0"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color w:val="000000"/>
        </w:rPr>
        <w:t> [ZTE]: we understands the concern from Huawei about how the source knows the UE capability for LTE QMC collection. Maybe China Unicom's suggestion for including the QoE configuration outside the container can be considered. By the way, do we really discuss the case like NR -&gt; LTE -&gt; NR? RAN2 down selected the cases of LTE/5GC-&gt;NR and NR -&gt; LTE/5GC for intra 5GC inter RAT handover.</w:t>
      </w:r>
    </w:p>
    <w:p w14:paraId="6D394EC0" w14:textId="77777777" w:rsidR="00A5314A" w:rsidRPr="00A5314A" w:rsidRDefault="00A5314A" w:rsidP="00A5314A">
      <w:pPr>
        <w:spacing w:before="120" w:after="0"/>
        <w:rPr>
          <w:rFonts w:asciiTheme="minorHAnsi" w:hAnsiTheme="minorHAnsi" w:cstheme="minorHAnsi"/>
          <w:b/>
          <w:bCs/>
          <w:color w:val="ED7D31"/>
          <w:sz w:val="20"/>
          <w:szCs w:val="20"/>
        </w:rPr>
      </w:pPr>
      <w:r w:rsidRPr="00A5314A">
        <w:rPr>
          <w:rFonts w:asciiTheme="minorHAnsi" w:hAnsiTheme="minorHAnsi" w:cstheme="minorHAnsi"/>
          <w:b/>
          <w:bCs/>
          <w:color w:val="ED7D31"/>
          <w:sz w:val="20"/>
          <w:szCs w:val="20"/>
        </w:rPr>
        <w:t>[Xiaomi]OK</w:t>
      </w:r>
    </w:p>
    <w:p w14:paraId="4A8F1522" w14:textId="77777777" w:rsidR="00A5314A" w:rsidRPr="00A5314A" w:rsidRDefault="00A5314A" w:rsidP="00A5314A">
      <w:pPr>
        <w:spacing w:before="120" w:after="0"/>
        <w:rPr>
          <w:rFonts w:asciiTheme="minorHAnsi" w:hAnsiTheme="minorHAnsi" w:cstheme="minorHAnsi"/>
          <w:szCs w:val="22"/>
        </w:rPr>
      </w:pPr>
    </w:p>
    <w:p w14:paraId="6E2A9D14"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B050"/>
        </w:rPr>
        <w:t>Proposal 4: For HO from LTE/5GC to NR, can be supported is no impacts to RAN3.</w:t>
      </w:r>
    </w:p>
    <w:p w14:paraId="73D8FF66" w14:textId="77777777" w:rsidR="00A5314A" w:rsidRPr="00A5314A" w:rsidRDefault="00A5314A" w:rsidP="00A5314A">
      <w:pPr>
        <w:spacing w:before="120" w:after="0"/>
        <w:rPr>
          <w:rFonts w:asciiTheme="minorHAnsi" w:hAnsiTheme="minorHAnsi" w:cstheme="minorHAnsi"/>
        </w:rPr>
      </w:pPr>
      <w:r w:rsidRPr="00A5314A">
        <w:rPr>
          <w:rStyle w:val="Strong"/>
          <w:rFonts w:asciiTheme="minorHAnsi" w:hAnsiTheme="minorHAnsi" w:cstheme="minorHAnsi"/>
          <w:color w:val="00B050"/>
        </w:rPr>
        <w:t> </w:t>
      </w:r>
    </w:p>
    <w:p w14:paraId="66CAE510" w14:textId="77777777" w:rsidR="00A5314A" w:rsidRPr="00A5314A" w:rsidRDefault="00A5314A" w:rsidP="00A5314A">
      <w:pPr>
        <w:spacing w:before="120" w:after="0"/>
        <w:rPr>
          <w:rFonts w:asciiTheme="minorHAnsi" w:hAnsiTheme="minorHAnsi" w:cstheme="minorHAnsi"/>
        </w:rPr>
      </w:pPr>
      <w:r w:rsidRPr="00A5314A">
        <w:rPr>
          <w:rFonts w:asciiTheme="minorHAnsi" w:hAnsiTheme="minorHAnsi" w:cstheme="minorHAnsi"/>
          <w:color w:val="000000"/>
        </w:rPr>
        <w:t> </w:t>
      </w:r>
      <w:r w:rsidRPr="00A5314A">
        <w:rPr>
          <w:rFonts w:asciiTheme="minorHAnsi" w:eastAsia="SimSun" w:hAnsiTheme="minorHAnsi" w:cstheme="minorHAnsi"/>
          <w:color w:val="1F497D"/>
          <w:sz w:val="21"/>
          <w:szCs w:val="21"/>
          <w:lang w:eastAsia="zh-CN"/>
        </w:rPr>
        <w:t>【</w:t>
      </w:r>
      <w:r w:rsidRPr="00A5314A">
        <w:rPr>
          <w:rFonts w:asciiTheme="minorHAnsi" w:hAnsiTheme="minorHAnsi" w:cstheme="minorHAnsi"/>
          <w:color w:val="1F497D"/>
          <w:sz w:val="21"/>
          <w:szCs w:val="21"/>
        </w:rPr>
        <w:t>CATT</w:t>
      </w:r>
      <w:r w:rsidRPr="00A5314A">
        <w:rPr>
          <w:rFonts w:asciiTheme="minorHAnsi" w:eastAsia="SimSun" w:hAnsiTheme="minorHAnsi" w:cstheme="minorHAnsi"/>
          <w:color w:val="1F497D"/>
          <w:sz w:val="21"/>
          <w:szCs w:val="21"/>
          <w:lang w:eastAsia="zh-CN"/>
        </w:rPr>
        <w:t>】</w:t>
      </w:r>
      <w:r w:rsidRPr="00A5314A">
        <w:rPr>
          <w:rFonts w:asciiTheme="minorHAnsi" w:hAnsiTheme="minorHAnsi" w:cstheme="minorHAnsi"/>
          <w:color w:val="1F497D"/>
          <w:sz w:val="21"/>
          <w:szCs w:val="21"/>
        </w:rPr>
        <w:t>if from NR to LTE include all configuration, the information should be transferred back from 5GC/LTE to NR.</w:t>
      </w:r>
    </w:p>
    <w:p w14:paraId="10C27E24" w14:textId="77777777" w:rsidR="00A5314A" w:rsidRPr="00A5314A" w:rsidRDefault="00A5314A" w:rsidP="00A5314A">
      <w:pPr>
        <w:spacing w:before="120" w:after="0"/>
        <w:rPr>
          <w:rFonts w:asciiTheme="minorHAnsi" w:hAnsiTheme="minorHAnsi" w:cstheme="minorHAnsi"/>
          <w:b/>
          <w:bCs/>
          <w:color w:val="ED7D31"/>
          <w:sz w:val="20"/>
          <w:szCs w:val="20"/>
        </w:rPr>
      </w:pPr>
      <w:r w:rsidRPr="00A5314A">
        <w:rPr>
          <w:rFonts w:asciiTheme="minorHAnsi" w:hAnsiTheme="minorHAnsi" w:cstheme="minorHAnsi"/>
          <w:color w:val="1F497D"/>
          <w:sz w:val="21"/>
          <w:szCs w:val="21"/>
        </w:rPr>
        <w:t> </w:t>
      </w:r>
      <w:r w:rsidRPr="00A5314A">
        <w:rPr>
          <w:rFonts w:asciiTheme="minorHAnsi" w:hAnsiTheme="minorHAnsi" w:cstheme="minorHAnsi"/>
          <w:b/>
          <w:bCs/>
          <w:color w:val="ED7D31"/>
          <w:sz w:val="20"/>
          <w:szCs w:val="20"/>
        </w:rPr>
        <w:t>[Xiaomi]OK</w:t>
      </w:r>
    </w:p>
    <w:p w14:paraId="106DF110" w14:textId="77777777" w:rsidR="00A5314A" w:rsidRDefault="00A5314A" w:rsidP="00A5314A">
      <w:pPr>
        <w:spacing w:before="100" w:beforeAutospacing="1" w:after="100" w:afterAutospacing="1"/>
        <w:rPr>
          <w:szCs w:val="22"/>
        </w:rPr>
      </w:pPr>
    </w:p>
    <w:p w14:paraId="64C5BF50" w14:textId="77777777" w:rsidR="00A5314A" w:rsidRDefault="00A5314A" w:rsidP="00A5314A">
      <w:pPr>
        <w:spacing w:before="100" w:beforeAutospacing="1" w:after="100" w:afterAutospacing="1"/>
      </w:pPr>
      <w:r>
        <w:rPr>
          <w:color w:val="1F497D"/>
          <w:sz w:val="21"/>
          <w:szCs w:val="21"/>
        </w:rPr>
        <w:t> </w:t>
      </w:r>
    </w:p>
    <w:p w14:paraId="2B3E2E1A" w14:textId="65D1D840" w:rsidR="002B68EC" w:rsidRPr="00317087" w:rsidRDefault="002B68EC" w:rsidP="00317087">
      <w:pPr>
        <w:spacing w:before="120" w:after="0" w:line="240" w:lineRule="auto"/>
        <w:rPr>
          <w:rFonts w:asciiTheme="minorHAnsi" w:hAnsiTheme="minorHAnsi" w:cstheme="minorHAnsi" w:hint="eastAsia"/>
          <w:szCs w:val="22"/>
        </w:rPr>
      </w:pPr>
      <w:r w:rsidRPr="002B68EC">
        <w:rPr>
          <w:rStyle w:val="Strong"/>
          <w:rFonts w:asciiTheme="minorHAnsi" w:hAnsiTheme="minorHAnsi" w:cstheme="minorHAnsi"/>
          <w:color w:val="00B050"/>
          <w:szCs w:val="22"/>
        </w:rPr>
        <w:lastRenderedPageBreak/>
        <w:t> </w:t>
      </w:r>
    </w:p>
    <w:p w14:paraId="0B7B5D63" w14:textId="77777777" w:rsidR="002B68EC" w:rsidRDefault="002B68EC" w:rsidP="002B68EC">
      <w:pPr>
        <w:spacing w:before="100" w:beforeAutospacing="1" w:after="100" w:afterAutospacing="1"/>
      </w:pPr>
      <w:r>
        <w:rPr>
          <w:color w:val="1F497D"/>
          <w:sz w:val="21"/>
          <w:szCs w:val="21"/>
        </w:rPr>
        <w:t> </w:t>
      </w:r>
    </w:p>
    <w:p w14:paraId="79D53904" w14:textId="77777777" w:rsidR="00CF60F8" w:rsidRPr="007F6D98" w:rsidRDefault="00CF60F8" w:rsidP="002B68EC">
      <w:pPr>
        <w:rPr>
          <w:rFonts w:ascii="Times New Roman" w:hAnsi="Times New Roman" w:cs="Times New Roman"/>
          <w:sz w:val="24"/>
          <w:szCs w:val="28"/>
          <w:lang w:val="en-SE"/>
        </w:rPr>
      </w:pPr>
    </w:p>
    <w:sectPr w:rsidR="00CF60F8" w:rsidRPr="007F6D98">
      <w:footerReference w:type="default" r:id="rId15"/>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EC1E" w14:textId="77777777" w:rsidR="00176989" w:rsidRDefault="00176989">
      <w:pPr>
        <w:spacing w:line="240" w:lineRule="auto"/>
      </w:pPr>
      <w:r>
        <w:separator/>
      </w:r>
    </w:p>
  </w:endnote>
  <w:endnote w:type="continuationSeparator" w:id="0">
    <w:p w14:paraId="643E6E7B" w14:textId="77777777" w:rsidR="00176989" w:rsidRDefault="00176989">
      <w:pPr>
        <w:spacing w:line="240" w:lineRule="auto"/>
      </w:pPr>
      <w:r>
        <w:continuationSeparator/>
      </w:r>
    </w:p>
  </w:endnote>
  <w:endnote w:type="continuationNotice" w:id="1">
    <w:p w14:paraId="7C4DDF79" w14:textId="77777777" w:rsidR="00176989" w:rsidRDefault="00176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panose1 w:val="00000000000000000000"/>
    <w:charset w:val="80"/>
    <w:family w:val="roman"/>
    <w:notTrueType/>
    <w:pitch w:val="fixed"/>
    <w:sig w:usb0="00000000"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8355" w14:textId="77777777" w:rsidR="008810FB" w:rsidRDefault="003F7AF3">
    <w:pPr>
      <w:pStyle w:val="Footer"/>
      <w:jc w:val="center"/>
    </w:pPr>
    <w:r>
      <w:fldChar w:fldCharType="begin"/>
    </w:r>
    <w:r>
      <w:instrText xml:space="preserve"> PAGE   \* MERGEFORMAT </w:instrText>
    </w:r>
    <w:r>
      <w:fldChar w:fldCharType="separate"/>
    </w:r>
    <w:r w:rsidR="009D471B" w:rsidRPr="009D471B">
      <w:rPr>
        <w:noProof/>
        <w:lang w:val="sv-SE" w:eastAsia="sv-SE"/>
      </w:rPr>
      <w:t>16</w:t>
    </w:r>
    <w:r>
      <w:rPr>
        <w:lang w:val="sv-SE" w:eastAsia="sv-SE"/>
      </w:rPr>
      <w:fldChar w:fldCharType="end"/>
    </w:r>
  </w:p>
  <w:p w14:paraId="4EA03210" w14:textId="77777777" w:rsidR="008810FB" w:rsidRDefault="0088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33A1" w14:textId="77777777" w:rsidR="00176989" w:rsidRDefault="00176989">
      <w:pPr>
        <w:spacing w:after="0"/>
      </w:pPr>
      <w:r>
        <w:separator/>
      </w:r>
    </w:p>
  </w:footnote>
  <w:footnote w:type="continuationSeparator" w:id="0">
    <w:p w14:paraId="7B99642A" w14:textId="77777777" w:rsidR="00176989" w:rsidRDefault="00176989">
      <w:pPr>
        <w:spacing w:after="0"/>
      </w:pPr>
      <w:r>
        <w:continuationSeparator/>
      </w:r>
    </w:p>
  </w:footnote>
  <w:footnote w:type="continuationNotice" w:id="1">
    <w:p w14:paraId="3643CFA5" w14:textId="77777777" w:rsidR="00176989" w:rsidRDefault="001769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88D"/>
    <w:multiLevelType w:val="hybridMultilevel"/>
    <w:tmpl w:val="8B0611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5F3F43"/>
    <w:multiLevelType w:val="multilevel"/>
    <w:tmpl w:val="B03C67E2"/>
    <w:lvl w:ilvl="0">
      <w:start w:val="1"/>
      <w:numFmt w:val="bullet"/>
      <w:lvlText w:val=""/>
      <w:lvlJc w:val="left"/>
      <w:pPr>
        <w:tabs>
          <w:tab w:val="num" w:pos="720"/>
        </w:tabs>
        <w:ind w:left="720" w:hanging="360"/>
      </w:pPr>
      <w:rPr>
        <w:rFonts w:ascii="Symbol" w:hAnsi="Symbol" w:hint="default"/>
        <w:color w:val="00B05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6A5A1B"/>
    <w:multiLevelType w:val="multilevel"/>
    <w:tmpl w:val="06764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D31A9B"/>
    <w:multiLevelType w:val="multilevel"/>
    <w:tmpl w:val="D86C37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73280"/>
    <w:multiLevelType w:val="multilevel"/>
    <w:tmpl w:val="81FABEF6"/>
    <w:lvl w:ilvl="0">
      <w:start w:val="1"/>
      <w:numFmt w:val="bullet"/>
      <w:lvlText w:val=""/>
      <w:lvlJc w:val="left"/>
      <w:pPr>
        <w:tabs>
          <w:tab w:val="num" w:pos="720"/>
        </w:tabs>
        <w:ind w:left="720" w:hanging="360"/>
      </w:pPr>
      <w:rPr>
        <w:rFonts w:ascii="Symbol" w:hAnsi="Symbol" w:hint="default"/>
        <w:color w:val="00B05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E2CAC"/>
    <w:multiLevelType w:val="multilevel"/>
    <w:tmpl w:val="E3A4C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B42B22"/>
    <w:multiLevelType w:val="multilevel"/>
    <w:tmpl w:val="E318A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F5515"/>
    <w:multiLevelType w:val="multilevel"/>
    <w:tmpl w:val="C26A0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22072D"/>
    <w:multiLevelType w:val="multilevel"/>
    <w:tmpl w:val="F6ACEB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3B1A62"/>
    <w:multiLevelType w:val="multilevel"/>
    <w:tmpl w:val="D37E1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B32268"/>
    <w:multiLevelType w:val="multilevel"/>
    <w:tmpl w:val="6944E2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091EBE"/>
    <w:multiLevelType w:val="hybridMultilevel"/>
    <w:tmpl w:val="21563B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1C7D19D5"/>
    <w:multiLevelType w:val="multilevel"/>
    <w:tmpl w:val="8F7C0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6C3AA4"/>
    <w:multiLevelType w:val="multilevel"/>
    <w:tmpl w:val="FD02EEBE"/>
    <w:lvl w:ilvl="0">
      <w:start w:val="1"/>
      <w:numFmt w:val="decimal"/>
      <w:pStyle w:val="Heading1"/>
      <w:lvlText w:val="%1"/>
      <w:lvlJc w:val="left"/>
      <w:pPr>
        <w:tabs>
          <w:tab w:val="left" w:pos="432"/>
        </w:tabs>
        <w:ind w:left="432" w:hanging="432"/>
      </w:pPr>
      <w:rPr>
        <w:rFonts w:ascii="Arial" w:hAnsi="Arial" w:cs="Arial" w:hint="default"/>
      </w:r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23FA6F28"/>
    <w:multiLevelType w:val="multilevel"/>
    <w:tmpl w:val="394A39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155BAD"/>
    <w:multiLevelType w:val="multilevel"/>
    <w:tmpl w:val="9FA85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2CA97D68"/>
    <w:multiLevelType w:val="multilevel"/>
    <w:tmpl w:val="82DA6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223B1F"/>
    <w:multiLevelType w:val="hybridMultilevel"/>
    <w:tmpl w:val="B31A75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7D40B87"/>
    <w:multiLevelType w:val="hybridMultilevel"/>
    <w:tmpl w:val="EE48F388"/>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E27F3B"/>
    <w:multiLevelType w:val="multilevel"/>
    <w:tmpl w:val="F9E09BE6"/>
    <w:styleLink w:val="CurrentList1"/>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Courier New"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22" w15:restartNumberingAfterBreak="0">
    <w:nsid w:val="53094EC1"/>
    <w:multiLevelType w:val="multilevel"/>
    <w:tmpl w:val="13E6E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7A543B"/>
    <w:multiLevelType w:val="multilevel"/>
    <w:tmpl w:val="368E4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2547B2"/>
    <w:multiLevelType w:val="multilevel"/>
    <w:tmpl w:val="55E21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4D637C"/>
    <w:multiLevelType w:val="multilevel"/>
    <w:tmpl w:val="B3683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4B7358"/>
    <w:multiLevelType w:val="hybridMultilevel"/>
    <w:tmpl w:val="28FE18E6"/>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16cid:durableId="479614668">
    <w:abstractNumId w:val="13"/>
  </w:num>
  <w:num w:numId="2" w16cid:durableId="1741362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494319">
    <w:abstractNumId w:val="27"/>
  </w:num>
  <w:num w:numId="4" w16cid:durableId="1929465657">
    <w:abstractNumId w:val="20"/>
  </w:num>
  <w:num w:numId="5" w16cid:durableId="862941126">
    <w:abstractNumId w:val="21"/>
  </w:num>
  <w:num w:numId="6" w16cid:durableId="672101532">
    <w:abstractNumId w:val="18"/>
  </w:num>
  <w:num w:numId="7" w16cid:durableId="635110629">
    <w:abstractNumId w:val="11"/>
  </w:num>
  <w:num w:numId="8" w16cid:durableId="1509061691">
    <w:abstractNumId w:val="19"/>
  </w:num>
  <w:num w:numId="9" w16cid:durableId="179709753">
    <w:abstractNumId w:val="26"/>
  </w:num>
  <w:num w:numId="10" w16cid:durableId="1839925599">
    <w:abstractNumId w:val="1"/>
  </w:num>
  <w:num w:numId="11" w16cid:durableId="586425368">
    <w:abstractNumId w:val="15"/>
  </w:num>
  <w:num w:numId="12" w16cid:durableId="2145808331">
    <w:abstractNumId w:val="3"/>
  </w:num>
  <w:num w:numId="13" w16cid:durableId="822359017">
    <w:abstractNumId w:val="22"/>
  </w:num>
  <w:num w:numId="14" w16cid:durableId="1347827080">
    <w:abstractNumId w:val="6"/>
  </w:num>
  <w:num w:numId="15" w16cid:durableId="258410442">
    <w:abstractNumId w:val="4"/>
  </w:num>
  <w:num w:numId="16" w16cid:durableId="527380295">
    <w:abstractNumId w:val="25"/>
  </w:num>
  <w:num w:numId="17" w16cid:durableId="1482231070">
    <w:abstractNumId w:val="8"/>
  </w:num>
  <w:num w:numId="18" w16cid:durableId="1883131829">
    <w:abstractNumId w:val="14"/>
  </w:num>
  <w:num w:numId="19" w16cid:durableId="1676611025">
    <w:abstractNumId w:val="12"/>
  </w:num>
  <w:num w:numId="20" w16cid:durableId="419106918">
    <w:abstractNumId w:val="17"/>
  </w:num>
  <w:num w:numId="21" w16cid:durableId="848762125">
    <w:abstractNumId w:val="23"/>
  </w:num>
  <w:num w:numId="22" w16cid:durableId="1309088195">
    <w:abstractNumId w:val="9"/>
  </w:num>
  <w:num w:numId="23" w16cid:durableId="168520436">
    <w:abstractNumId w:val="5"/>
  </w:num>
  <w:num w:numId="24" w16cid:durableId="570776387">
    <w:abstractNumId w:val="24"/>
  </w:num>
  <w:num w:numId="25" w16cid:durableId="1867526499">
    <w:abstractNumId w:val="10"/>
  </w:num>
  <w:num w:numId="26" w16cid:durableId="1582520739">
    <w:abstractNumId w:val="0"/>
  </w:num>
  <w:num w:numId="27" w16cid:durableId="1942907649">
    <w:abstractNumId w:val="2"/>
    <w:lvlOverride w:ilvl="0"/>
    <w:lvlOverride w:ilvl="1"/>
    <w:lvlOverride w:ilvl="2"/>
    <w:lvlOverride w:ilvl="3"/>
    <w:lvlOverride w:ilvl="4"/>
    <w:lvlOverride w:ilvl="5"/>
    <w:lvlOverride w:ilvl="6"/>
    <w:lvlOverride w:ilvl="7"/>
    <w:lvlOverride w:ilvl="8"/>
  </w:num>
  <w:num w:numId="28" w16cid:durableId="1109425466">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1290"/>
    <w:rsid w:val="000028E0"/>
    <w:rsid w:val="00004866"/>
    <w:rsid w:val="00005FF1"/>
    <w:rsid w:val="000060C0"/>
    <w:rsid w:val="0000625E"/>
    <w:rsid w:val="00006BC3"/>
    <w:rsid w:val="00007A3A"/>
    <w:rsid w:val="00010982"/>
    <w:rsid w:val="00013BA6"/>
    <w:rsid w:val="000145EC"/>
    <w:rsid w:val="000149BD"/>
    <w:rsid w:val="00015BA7"/>
    <w:rsid w:val="000208FA"/>
    <w:rsid w:val="00020B93"/>
    <w:rsid w:val="00021474"/>
    <w:rsid w:val="00024088"/>
    <w:rsid w:val="00024916"/>
    <w:rsid w:val="00024BDA"/>
    <w:rsid w:val="000252DA"/>
    <w:rsid w:val="000268D5"/>
    <w:rsid w:val="00027297"/>
    <w:rsid w:val="000277FF"/>
    <w:rsid w:val="0003748C"/>
    <w:rsid w:val="00041BF4"/>
    <w:rsid w:val="00041DD2"/>
    <w:rsid w:val="00042129"/>
    <w:rsid w:val="000427C2"/>
    <w:rsid w:val="00043730"/>
    <w:rsid w:val="00044F9D"/>
    <w:rsid w:val="000469C6"/>
    <w:rsid w:val="000517C9"/>
    <w:rsid w:val="00052ABB"/>
    <w:rsid w:val="0005306A"/>
    <w:rsid w:val="00053444"/>
    <w:rsid w:val="00056080"/>
    <w:rsid w:val="00056965"/>
    <w:rsid w:val="000571F4"/>
    <w:rsid w:val="00060357"/>
    <w:rsid w:val="000618C3"/>
    <w:rsid w:val="000626BD"/>
    <w:rsid w:val="00067ACB"/>
    <w:rsid w:val="00070F1A"/>
    <w:rsid w:val="000722CE"/>
    <w:rsid w:val="0007334E"/>
    <w:rsid w:val="000742F3"/>
    <w:rsid w:val="000761E4"/>
    <w:rsid w:val="00076487"/>
    <w:rsid w:val="00076F2D"/>
    <w:rsid w:val="00080AA9"/>
    <w:rsid w:val="00080CAD"/>
    <w:rsid w:val="00080DBB"/>
    <w:rsid w:val="00081829"/>
    <w:rsid w:val="00081E79"/>
    <w:rsid w:val="00082EAB"/>
    <w:rsid w:val="00084581"/>
    <w:rsid w:val="00084E68"/>
    <w:rsid w:val="00087D50"/>
    <w:rsid w:val="00093DBE"/>
    <w:rsid w:val="00096270"/>
    <w:rsid w:val="000A163A"/>
    <w:rsid w:val="000A4EF4"/>
    <w:rsid w:val="000A5F13"/>
    <w:rsid w:val="000A67E1"/>
    <w:rsid w:val="000A7190"/>
    <w:rsid w:val="000B0458"/>
    <w:rsid w:val="000B0898"/>
    <w:rsid w:val="000B14F1"/>
    <w:rsid w:val="000B45E0"/>
    <w:rsid w:val="000B4A83"/>
    <w:rsid w:val="000B53D3"/>
    <w:rsid w:val="000B585C"/>
    <w:rsid w:val="000B634B"/>
    <w:rsid w:val="000C12DC"/>
    <w:rsid w:val="000C2E48"/>
    <w:rsid w:val="000C4618"/>
    <w:rsid w:val="000C508E"/>
    <w:rsid w:val="000C55D7"/>
    <w:rsid w:val="000D14DD"/>
    <w:rsid w:val="000D1CE5"/>
    <w:rsid w:val="000D1E7E"/>
    <w:rsid w:val="000D1F15"/>
    <w:rsid w:val="000D34F8"/>
    <w:rsid w:val="000D63F2"/>
    <w:rsid w:val="000E1F04"/>
    <w:rsid w:val="000E2238"/>
    <w:rsid w:val="000E59AB"/>
    <w:rsid w:val="000E7B6C"/>
    <w:rsid w:val="000F1AC3"/>
    <w:rsid w:val="000F2C4F"/>
    <w:rsid w:val="000F2DD6"/>
    <w:rsid w:val="000F3FF1"/>
    <w:rsid w:val="000F3FF8"/>
    <w:rsid w:val="000F57E2"/>
    <w:rsid w:val="00101A5A"/>
    <w:rsid w:val="00102177"/>
    <w:rsid w:val="0010239F"/>
    <w:rsid w:val="00104509"/>
    <w:rsid w:val="00106D89"/>
    <w:rsid w:val="001070A2"/>
    <w:rsid w:val="001072FD"/>
    <w:rsid w:val="00110B0F"/>
    <w:rsid w:val="00111CF0"/>
    <w:rsid w:val="00111CF4"/>
    <w:rsid w:val="001128AE"/>
    <w:rsid w:val="00113082"/>
    <w:rsid w:val="00113C6B"/>
    <w:rsid w:val="00115EA5"/>
    <w:rsid w:val="00116542"/>
    <w:rsid w:val="0011721A"/>
    <w:rsid w:val="00120151"/>
    <w:rsid w:val="00120251"/>
    <w:rsid w:val="00120701"/>
    <w:rsid w:val="001226F6"/>
    <w:rsid w:val="001236CA"/>
    <w:rsid w:val="00123A05"/>
    <w:rsid w:val="00123E79"/>
    <w:rsid w:val="00124951"/>
    <w:rsid w:val="00124F05"/>
    <w:rsid w:val="001251A3"/>
    <w:rsid w:val="00125A87"/>
    <w:rsid w:val="00127BE7"/>
    <w:rsid w:val="00127E47"/>
    <w:rsid w:val="00130602"/>
    <w:rsid w:val="00131F5F"/>
    <w:rsid w:val="00132A23"/>
    <w:rsid w:val="00134411"/>
    <w:rsid w:val="0013544C"/>
    <w:rsid w:val="001361CB"/>
    <w:rsid w:val="00136315"/>
    <w:rsid w:val="00136417"/>
    <w:rsid w:val="00136DDF"/>
    <w:rsid w:val="00137AAE"/>
    <w:rsid w:val="0014032B"/>
    <w:rsid w:val="001408C3"/>
    <w:rsid w:val="00140AE1"/>
    <w:rsid w:val="00140B69"/>
    <w:rsid w:val="00140DE1"/>
    <w:rsid w:val="00142823"/>
    <w:rsid w:val="00142844"/>
    <w:rsid w:val="0014446D"/>
    <w:rsid w:val="00145C74"/>
    <w:rsid w:val="00146824"/>
    <w:rsid w:val="001475B4"/>
    <w:rsid w:val="00150677"/>
    <w:rsid w:val="001506F2"/>
    <w:rsid w:val="00153172"/>
    <w:rsid w:val="0015345D"/>
    <w:rsid w:val="00154179"/>
    <w:rsid w:val="00154A7A"/>
    <w:rsid w:val="00154BD0"/>
    <w:rsid w:val="00156B1A"/>
    <w:rsid w:val="00160B1E"/>
    <w:rsid w:val="001654EE"/>
    <w:rsid w:val="001655AB"/>
    <w:rsid w:val="00165D1F"/>
    <w:rsid w:val="00166139"/>
    <w:rsid w:val="00171F93"/>
    <w:rsid w:val="0017276A"/>
    <w:rsid w:val="0017334A"/>
    <w:rsid w:val="001760B2"/>
    <w:rsid w:val="00176989"/>
    <w:rsid w:val="001810A2"/>
    <w:rsid w:val="0018219D"/>
    <w:rsid w:val="00190807"/>
    <w:rsid w:val="00190F49"/>
    <w:rsid w:val="001915BC"/>
    <w:rsid w:val="00192125"/>
    <w:rsid w:val="00192C31"/>
    <w:rsid w:val="0019372C"/>
    <w:rsid w:val="00196A29"/>
    <w:rsid w:val="00197096"/>
    <w:rsid w:val="001A0683"/>
    <w:rsid w:val="001A1874"/>
    <w:rsid w:val="001A44D4"/>
    <w:rsid w:val="001A5354"/>
    <w:rsid w:val="001A5360"/>
    <w:rsid w:val="001A6916"/>
    <w:rsid w:val="001A787D"/>
    <w:rsid w:val="001B03D9"/>
    <w:rsid w:val="001B23B6"/>
    <w:rsid w:val="001B532F"/>
    <w:rsid w:val="001B7C5D"/>
    <w:rsid w:val="001C28A9"/>
    <w:rsid w:val="001C2925"/>
    <w:rsid w:val="001C2B4C"/>
    <w:rsid w:val="001C46CC"/>
    <w:rsid w:val="001C4F8B"/>
    <w:rsid w:val="001C6E79"/>
    <w:rsid w:val="001D1478"/>
    <w:rsid w:val="001D29C8"/>
    <w:rsid w:val="001D3A26"/>
    <w:rsid w:val="001D439D"/>
    <w:rsid w:val="001D6182"/>
    <w:rsid w:val="001D6A88"/>
    <w:rsid w:val="001D73B3"/>
    <w:rsid w:val="001E0639"/>
    <w:rsid w:val="001E074D"/>
    <w:rsid w:val="001E0E93"/>
    <w:rsid w:val="001E410C"/>
    <w:rsid w:val="001E4FFF"/>
    <w:rsid w:val="001E515A"/>
    <w:rsid w:val="001E5608"/>
    <w:rsid w:val="001E5F66"/>
    <w:rsid w:val="001E6195"/>
    <w:rsid w:val="001E6F87"/>
    <w:rsid w:val="001F1BD6"/>
    <w:rsid w:val="001F3292"/>
    <w:rsid w:val="001F6CC9"/>
    <w:rsid w:val="001F6FB1"/>
    <w:rsid w:val="00200458"/>
    <w:rsid w:val="002008F2"/>
    <w:rsid w:val="00204925"/>
    <w:rsid w:val="00205038"/>
    <w:rsid w:val="00205EB5"/>
    <w:rsid w:val="00206ADB"/>
    <w:rsid w:val="00206CF3"/>
    <w:rsid w:val="00207DFC"/>
    <w:rsid w:val="002106BD"/>
    <w:rsid w:val="002146BF"/>
    <w:rsid w:val="00217A8A"/>
    <w:rsid w:val="00217F9A"/>
    <w:rsid w:val="00223801"/>
    <w:rsid w:val="0022409C"/>
    <w:rsid w:val="00232119"/>
    <w:rsid w:val="00234446"/>
    <w:rsid w:val="00234AC7"/>
    <w:rsid w:val="002352F0"/>
    <w:rsid w:val="0023733F"/>
    <w:rsid w:val="00237D72"/>
    <w:rsid w:val="00240463"/>
    <w:rsid w:val="00241BFB"/>
    <w:rsid w:val="00244A4B"/>
    <w:rsid w:val="002461EB"/>
    <w:rsid w:val="00250370"/>
    <w:rsid w:val="002510A7"/>
    <w:rsid w:val="00252084"/>
    <w:rsid w:val="00252FA6"/>
    <w:rsid w:val="00253DCB"/>
    <w:rsid w:val="00255B97"/>
    <w:rsid w:val="00260790"/>
    <w:rsid w:val="00260A11"/>
    <w:rsid w:val="00261ED8"/>
    <w:rsid w:val="00263983"/>
    <w:rsid w:val="00263F55"/>
    <w:rsid w:val="002646B8"/>
    <w:rsid w:val="0026504A"/>
    <w:rsid w:val="00266C0B"/>
    <w:rsid w:val="00267824"/>
    <w:rsid w:val="00270B3F"/>
    <w:rsid w:val="00270CEA"/>
    <w:rsid w:val="002747B3"/>
    <w:rsid w:val="00275460"/>
    <w:rsid w:val="00275ED5"/>
    <w:rsid w:val="0027668B"/>
    <w:rsid w:val="00276AAB"/>
    <w:rsid w:val="00276D49"/>
    <w:rsid w:val="002774F7"/>
    <w:rsid w:val="00277731"/>
    <w:rsid w:val="00277E4F"/>
    <w:rsid w:val="00280BD4"/>
    <w:rsid w:val="00280CEE"/>
    <w:rsid w:val="00283B9A"/>
    <w:rsid w:val="00286E4B"/>
    <w:rsid w:val="002932A3"/>
    <w:rsid w:val="0029434D"/>
    <w:rsid w:val="00295308"/>
    <w:rsid w:val="002955A3"/>
    <w:rsid w:val="00296338"/>
    <w:rsid w:val="00296A64"/>
    <w:rsid w:val="002A07E9"/>
    <w:rsid w:val="002A33D9"/>
    <w:rsid w:val="002A36E2"/>
    <w:rsid w:val="002A3818"/>
    <w:rsid w:val="002A458F"/>
    <w:rsid w:val="002A632E"/>
    <w:rsid w:val="002A6A70"/>
    <w:rsid w:val="002A7C88"/>
    <w:rsid w:val="002B011D"/>
    <w:rsid w:val="002B11A3"/>
    <w:rsid w:val="002B2634"/>
    <w:rsid w:val="002B279A"/>
    <w:rsid w:val="002B68EC"/>
    <w:rsid w:val="002B6F10"/>
    <w:rsid w:val="002B7009"/>
    <w:rsid w:val="002C0260"/>
    <w:rsid w:val="002C2FD7"/>
    <w:rsid w:val="002C391A"/>
    <w:rsid w:val="002C456C"/>
    <w:rsid w:val="002C5E43"/>
    <w:rsid w:val="002C60E8"/>
    <w:rsid w:val="002C6469"/>
    <w:rsid w:val="002C6647"/>
    <w:rsid w:val="002C67A4"/>
    <w:rsid w:val="002C7B21"/>
    <w:rsid w:val="002D0B16"/>
    <w:rsid w:val="002D0FB0"/>
    <w:rsid w:val="002D1EC2"/>
    <w:rsid w:val="002D21A7"/>
    <w:rsid w:val="002D28C0"/>
    <w:rsid w:val="002D5703"/>
    <w:rsid w:val="002D5C51"/>
    <w:rsid w:val="002D6BC5"/>
    <w:rsid w:val="002D7C74"/>
    <w:rsid w:val="002E0B2D"/>
    <w:rsid w:val="002E4E10"/>
    <w:rsid w:val="002E5CDC"/>
    <w:rsid w:val="002E6433"/>
    <w:rsid w:val="002E6D03"/>
    <w:rsid w:val="002E7D78"/>
    <w:rsid w:val="002F1263"/>
    <w:rsid w:val="002F20E9"/>
    <w:rsid w:val="002F3F18"/>
    <w:rsid w:val="002F43FA"/>
    <w:rsid w:val="002F5583"/>
    <w:rsid w:val="002F6C6D"/>
    <w:rsid w:val="002F6F24"/>
    <w:rsid w:val="002F7A2E"/>
    <w:rsid w:val="00301DDC"/>
    <w:rsid w:val="00302415"/>
    <w:rsid w:val="00302EBF"/>
    <w:rsid w:val="003038DB"/>
    <w:rsid w:val="00304D5E"/>
    <w:rsid w:val="003053BD"/>
    <w:rsid w:val="0030564B"/>
    <w:rsid w:val="003113D2"/>
    <w:rsid w:val="00312092"/>
    <w:rsid w:val="003140C5"/>
    <w:rsid w:val="00314401"/>
    <w:rsid w:val="00314F9F"/>
    <w:rsid w:val="00317087"/>
    <w:rsid w:val="00317C74"/>
    <w:rsid w:val="00321D0D"/>
    <w:rsid w:val="003223A3"/>
    <w:rsid w:val="00322554"/>
    <w:rsid w:val="0032285B"/>
    <w:rsid w:val="00323563"/>
    <w:rsid w:val="0032429C"/>
    <w:rsid w:val="0032531F"/>
    <w:rsid w:val="00326839"/>
    <w:rsid w:val="003327D9"/>
    <w:rsid w:val="00332DC8"/>
    <w:rsid w:val="00332E4D"/>
    <w:rsid w:val="00333FBF"/>
    <w:rsid w:val="00334176"/>
    <w:rsid w:val="00341245"/>
    <w:rsid w:val="00343A77"/>
    <w:rsid w:val="0034420F"/>
    <w:rsid w:val="00344BFA"/>
    <w:rsid w:val="00344DDD"/>
    <w:rsid w:val="00344F6F"/>
    <w:rsid w:val="00345220"/>
    <w:rsid w:val="00345954"/>
    <w:rsid w:val="00345F4B"/>
    <w:rsid w:val="00346049"/>
    <w:rsid w:val="00346C40"/>
    <w:rsid w:val="00347FA4"/>
    <w:rsid w:val="00353F12"/>
    <w:rsid w:val="00354AE5"/>
    <w:rsid w:val="00362667"/>
    <w:rsid w:val="003653EC"/>
    <w:rsid w:val="0036626F"/>
    <w:rsid w:val="00366DE5"/>
    <w:rsid w:val="00367A6B"/>
    <w:rsid w:val="00367FD0"/>
    <w:rsid w:val="00370B56"/>
    <w:rsid w:val="00370C77"/>
    <w:rsid w:val="00371F42"/>
    <w:rsid w:val="00372705"/>
    <w:rsid w:val="003731B9"/>
    <w:rsid w:val="0037591E"/>
    <w:rsid w:val="0037599A"/>
    <w:rsid w:val="00376C2A"/>
    <w:rsid w:val="00377B08"/>
    <w:rsid w:val="00380D42"/>
    <w:rsid w:val="003820FA"/>
    <w:rsid w:val="00382AC7"/>
    <w:rsid w:val="00383A40"/>
    <w:rsid w:val="0038414C"/>
    <w:rsid w:val="003865A8"/>
    <w:rsid w:val="003867B6"/>
    <w:rsid w:val="003872D0"/>
    <w:rsid w:val="003907BC"/>
    <w:rsid w:val="00390D12"/>
    <w:rsid w:val="003936B1"/>
    <w:rsid w:val="00393B5F"/>
    <w:rsid w:val="003942D8"/>
    <w:rsid w:val="00394485"/>
    <w:rsid w:val="003947DB"/>
    <w:rsid w:val="0039614D"/>
    <w:rsid w:val="00397618"/>
    <w:rsid w:val="003A0218"/>
    <w:rsid w:val="003A1237"/>
    <w:rsid w:val="003A1F97"/>
    <w:rsid w:val="003A2121"/>
    <w:rsid w:val="003A27EF"/>
    <w:rsid w:val="003A4FA5"/>
    <w:rsid w:val="003A647A"/>
    <w:rsid w:val="003A778B"/>
    <w:rsid w:val="003A7E37"/>
    <w:rsid w:val="003B0498"/>
    <w:rsid w:val="003B08DE"/>
    <w:rsid w:val="003B0F3A"/>
    <w:rsid w:val="003B1447"/>
    <w:rsid w:val="003B31A0"/>
    <w:rsid w:val="003B7913"/>
    <w:rsid w:val="003B7FEA"/>
    <w:rsid w:val="003C0075"/>
    <w:rsid w:val="003C0EAB"/>
    <w:rsid w:val="003C1793"/>
    <w:rsid w:val="003C2150"/>
    <w:rsid w:val="003C2BB0"/>
    <w:rsid w:val="003C2E07"/>
    <w:rsid w:val="003C3458"/>
    <w:rsid w:val="003C3A75"/>
    <w:rsid w:val="003C611B"/>
    <w:rsid w:val="003C6203"/>
    <w:rsid w:val="003C6A5B"/>
    <w:rsid w:val="003D3025"/>
    <w:rsid w:val="003D3C72"/>
    <w:rsid w:val="003D54DF"/>
    <w:rsid w:val="003D7DC5"/>
    <w:rsid w:val="003E2CC5"/>
    <w:rsid w:val="003E592E"/>
    <w:rsid w:val="003E7EAD"/>
    <w:rsid w:val="003F0E5F"/>
    <w:rsid w:val="003F1889"/>
    <w:rsid w:val="003F18FD"/>
    <w:rsid w:val="003F2049"/>
    <w:rsid w:val="003F2488"/>
    <w:rsid w:val="003F2924"/>
    <w:rsid w:val="003F4110"/>
    <w:rsid w:val="003F49AB"/>
    <w:rsid w:val="003F4A21"/>
    <w:rsid w:val="003F58A7"/>
    <w:rsid w:val="003F6CB3"/>
    <w:rsid w:val="003F7AF3"/>
    <w:rsid w:val="00400711"/>
    <w:rsid w:val="00401DA4"/>
    <w:rsid w:val="00402558"/>
    <w:rsid w:val="0040402D"/>
    <w:rsid w:val="004042D3"/>
    <w:rsid w:val="00404E2B"/>
    <w:rsid w:val="004050B1"/>
    <w:rsid w:val="00405E5D"/>
    <w:rsid w:val="0040606F"/>
    <w:rsid w:val="00406450"/>
    <w:rsid w:val="00406679"/>
    <w:rsid w:val="004121C7"/>
    <w:rsid w:val="0041237C"/>
    <w:rsid w:val="00413232"/>
    <w:rsid w:val="00413586"/>
    <w:rsid w:val="00413785"/>
    <w:rsid w:val="00414C95"/>
    <w:rsid w:val="00415FBB"/>
    <w:rsid w:val="00421234"/>
    <w:rsid w:val="00421CD8"/>
    <w:rsid w:val="00423477"/>
    <w:rsid w:val="00423F79"/>
    <w:rsid w:val="0042602F"/>
    <w:rsid w:val="00433667"/>
    <w:rsid w:val="004337B1"/>
    <w:rsid w:val="00434AF4"/>
    <w:rsid w:val="00435C58"/>
    <w:rsid w:val="00440E30"/>
    <w:rsid w:val="00443088"/>
    <w:rsid w:val="0045167E"/>
    <w:rsid w:val="00451C18"/>
    <w:rsid w:val="00452823"/>
    <w:rsid w:val="00453552"/>
    <w:rsid w:val="00454FC1"/>
    <w:rsid w:val="0045558F"/>
    <w:rsid w:val="0045666D"/>
    <w:rsid w:val="00456A44"/>
    <w:rsid w:val="004574AE"/>
    <w:rsid w:val="004615B7"/>
    <w:rsid w:val="00461A66"/>
    <w:rsid w:val="00465302"/>
    <w:rsid w:val="00466107"/>
    <w:rsid w:val="00466BB3"/>
    <w:rsid w:val="00471B46"/>
    <w:rsid w:val="00471C1F"/>
    <w:rsid w:val="0047327E"/>
    <w:rsid w:val="004748B0"/>
    <w:rsid w:val="00475B35"/>
    <w:rsid w:val="004764B4"/>
    <w:rsid w:val="00483D80"/>
    <w:rsid w:val="00485F57"/>
    <w:rsid w:val="004916B7"/>
    <w:rsid w:val="004918A1"/>
    <w:rsid w:val="00491FBB"/>
    <w:rsid w:val="00491FFB"/>
    <w:rsid w:val="00492B73"/>
    <w:rsid w:val="00493B6D"/>
    <w:rsid w:val="004952BB"/>
    <w:rsid w:val="00496EBB"/>
    <w:rsid w:val="004970F8"/>
    <w:rsid w:val="004978BD"/>
    <w:rsid w:val="00497CC0"/>
    <w:rsid w:val="004A017A"/>
    <w:rsid w:val="004A24B0"/>
    <w:rsid w:val="004A2D65"/>
    <w:rsid w:val="004A55CC"/>
    <w:rsid w:val="004A68E3"/>
    <w:rsid w:val="004A6B4C"/>
    <w:rsid w:val="004A7B2B"/>
    <w:rsid w:val="004B1646"/>
    <w:rsid w:val="004B2285"/>
    <w:rsid w:val="004B22D7"/>
    <w:rsid w:val="004B4A6D"/>
    <w:rsid w:val="004B4B37"/>
    <w:rsid w:val="004B559F"/>
    <w:rsid w:val="004B7332"/>
    <w:rsid w:val="004C0B18"/>
    <w:rsid w:val="004C280B"/>
    <w:rsid w:val="004C2B74"/>
    <w:rsid w:val="004C30AC"/>
    <w:rsid w:val="004C40C5"/>
    <w:rsid w:val="004C55A7"/>
    <w:rsid w:val="004D22C6"/>
    <w:rsid w:val="004D2550"/>
    <w:rsid w:val="004D361F"/>
    <w:rsid w:val="004D4ACF"/>
    <w:rsid w:val="004D63C5"/>
    <w:rsid w:val="004E1A4D"/>
    <w:rsid w:val="004E232D"/>
    <w:rsid w:val="004E4B4F"/>
    <w:rsid w:val="004E4C5B"/>
    <w:rsid w:val="004E707C"/>
    <w:rsid w:val="004F002F"/>
    <w:rsid w:val="004F341D"/>
    <w:rsid w:val="004F4B82"/>
    <w:rsid w:val="004F507B"/>
    <w:rsid w:val="004F6593"/>
    <w:rsid w:val="004F6710"/>
    <w:rsid w:val="0050038D"/>
    <w:rsid w:val="00501318"/>
    <w:rsid w:val="005031AB"/>
    <w:rsid w:val="00504457"/>
    <w:rsid w:val="00505116"/>
    <w:rsid w:val="005062BC"/>
    <w:rsid w:val="00506460"/>
    <w:rsid w:val="00507F42"/>
    <w:rsid w:val="005111FD"/>
    <w:rsid w:val="005119F9"/>
    <w:rsid w:val="00512281"/>
    <w:rsid w:val="0051267A"/>
    <w:rsid w:val="00512B27"/>
    <w:rsid w:val="00513D12"/>
    <w:rsid w:val="00514430"/>
    <w:rsid w:val="0051540C"/>
    <w:rsid w:val="00516AAA"/>
    <w:rsid w:val="00516C85"/>
    <w:rsid w:val="0052021E"/>
    <w:rsid w:val="00520911"/>
    <w:rsid w:val="00520A23"/>
    <w:rsid w:val="00523A95"/>
    <w:rsid w:val="00523D81"/>
    <w:rsid w:val="0053075B"/>
    <w:rsid w:val="0053246D"/>
    <w:rsid w:val="0053419B"/>
    <w:rsid w:val="0053538E"/>
    <w:rsid w:val="00537F64"/>
    <w:rsid w:val="005403BA"/>
    <w:rsid w:val="00540E45"/>
    <w:rsid w:val="00546185"/>
    <w:rsid w:val="00546FDB"/>
    <w:rsid w:val="00550F37"/>
    <w:rsid w:val="00552EE2"/>
    <w:rsid w:val="0055527D"/>
    <w:rsid w:val="00557ECB"/>
    <w:rsid w:val="00560158"/>
    <w:rsid w:val="00561DD3"/>
    <w:rsid w:val="00570071"/>
    <w:rsid w:val="00572F8E"/>
    <w:rsid w:val="00573AF8"/>
    <w:rsid w:val="00574258"/>
    <w:rsid w:val="0057501B"/>
    <w:rsid w:val="00575455"/>
    <w:rsid w:val="00577BE0"/>
    <w:rsid w:val="005800E7"/>
    <w:rsid w:val="0058117D"/>
    <w:rsid w:val="00583177"/>
    <w:rsid w:val="00583FEB"/>
    <w:rsid w:val="005850B1"/>
    <w:rsid w:val="00585493"/>
    <w:rsid w:val="00587219"/>
    <w:rsid w:val="00592B06"/>
    <w:rsid w:val="005957E6"/>
    <w:rsid w:val="005A0380"/>
    <w:rsid w:val="005A177E"/>
    <w:rsid w:val="005A4A66"/>
    <w:rsid w:val="005A59D9"/>
    <w:rsid w:val="005A6066"/>
    <w:rsid w:val="005A6FEF"/>
    <w:rsid w:val="005B142B"/>
    <w:rsid w:val="005B1813"/>
    <w:rsid w:val="005B4764"/>
    <w:rsid w:val="005B68AA"/>
    <w:rsid w:val="005C16D9"/>
    <w:rsid w:val="005C2FB7"/>
    <w:rsid w:val="005C4877"/>
    <w:rsid w:val="005C52A9"/>
    <w:rsid w:val="005C5E45"/>
    <w:rsid w:val="005C6811"/>
    <w:rsid w:val="005D01C5"/>
    <w:rsid w:val="005D02C4"/>
    <w:rsid w:val="005D041F"/>
    <w:rsid w:val="005D1F16"/>
    <w:rsid w:val="005D2250"/>
    <w:rsid w:val="005D35E6"/>
    <w:rsid w:val="005D3926"/>
    <w:rsid w:val="005D42AD"/>
    <w:rsid w:val="005D4C54"/>
    <w:rsid w:val="005D75D4"/>
    <w:rsid w:val="005E02E3"/>
    <w:rsid w:val="005E082C"/>
    <w:rsid w:val="005E17A9"/>
    <w:rsid w:val="005E189B"/>
    <w:rsid w:val="005E2834"/>
    <w:rsid w:val="005E44A0"/>
    <w:rsid w:val="005E5201"/>
    <w:rsid w:val="005E5F9F"/>
    <w:rsid w:val="005E6392"/>
    <w:rsid w:val="005F1013"/>
    <w:rsid w:val="005F1540"/>
    <w:rsid w:val="005F2C6F"/>
    <w:rsid w:val="005F3747"/>
    <w:rsid w:val="005F4776"/>
    <w:rsid w:val="005F5838"/>
    <w:rsid w:val="005F5A7F"/>
    <w:rsid w:val="005F5C39"/>
    <w:rsid w:val="005F65C1"/>
    <w:rsid w:val="005F6EAA"/>
    <w:rsid w:val="005F7AFB"/>
    <w:rsid w:val="00600743"/>
    <w:rsid w:val="00601D45"/>
    <w:rsid w:val="00603533"/>
    <w:rsid w:val="00604183"/>
    <w:rsid w:val="00604F8A"/>
    <w:rsid w:val="006064CD"/>
    <w:rsid w:val="006067BE"/>
    <w:rsid w:val="00607CD5"/>
    <w:rsid w:val="006108CB"/>
    <w:rsid w:val="006123E4"/>
    <w:rsid w:val="00612909"/>
    <w:rsid w:val="006155C0"/>
    <w:rsid w:val="006171AA"/>
    <w:rsid w:val="0062061B"/>
    <w:rsid w:val="006211D2"/>
    <w:rsid w:val="00624B95"/>
    <w:rsid w:val="00625A45"/>
    <w:rsid w:val="006267B7"/>
    <w:rsid w:val="00626E96"/>
    <w:rsid w:val="006270E6"/>
    <w:rsid w:val="0063001C"/>
    <w:rsid w:val="00630364"/>
    <w:rsid w:val="00630844"/>
    <w:rsid w:val="006310DD"/>
    <w:rsid w:val="00632BFC"/>
    <w:rsid w:val="00632D46"/>
    <w:rsid w:val="00635690"/>
    <w:rsid w:val="0063717C"/>
    <w:rsid w:val="00637A18"/>
    <w:rsid w:val="00637AC0"/>
    <w:rsid w:val="00641455"/>
    <w:rsid w:val="00643A15"/>
    <w:rsid w:val="006458E0"/>
    <w:rsid w:val="006459ED"/>
    <w:rsid w:val="00645A46"/>
    <w:rsid w:val="006460F2"/>
    <w:rsid w:val="0065160D"/>
    <w:rsid w:val="00652531"/>
    <w:rsid w:val="00652A18"/>
    <w:rsid w:val="00652D7E"/>
    <w:rsid w:val="00653A66"/>
    <w:rsid w:val="00653AC6"/>
    <w:rsid w:val="00653E52"/>
    <w:rsid w:val="00654588"/>
    <w:rsid w:val="0065508C"/>
    <w:rsid w:val="006558DA"/>
    <w:rsid w:val="006607E9"/>
    <w:rsid w:val="00661E63"/>
    <w:rsid w:val="006654A1"/>
    <w:rsid w:val="00666B3B"/>
    <w:rsid w:val="00670A6A"/>
    <w:rsid w:val="006717CF"/>
    <w:rsid w:val="00672573"/>
    <w:rsid w:val="00673093"/>
    <w:rsid w:val="0068106A"/>
    <w:rsid w:val="0068187F"/>
    <w:rsid w:val="0068199B"/>
    <w:rsid w:val="00687A27"/>
    <w:rsid w:val="00687FC5"/>
    <w:rsid w:val="006902A5"/>
    <w:rsid w:val="00690F78"/>
    <w:rsid w:val="0069156D"/>
    <w:rsid w:val="006924EE"/>
    <w:rsid w:val="006943DD"/>
    <w:rsid w:val="00694EAC"/>
    <w:rsid w:val="00695B25"/>
    <w:rsid w:val="00695B52"/>
    <w:rsid w:val="006961D3"/>
    <w:rsid w:val="00696D82"/>
    <w:rsid w:val="00697DE2"/>
    <w:rsid w:val="006A1168"/>
    <w:rsid w:val="006A1383"/>
    <w:rsid w:val="006A1D27"/>
    <w:rsid w:val="006A24BF"/>
    <w:rsid w:val="006A4002"/>
    <w:rsid w:val="006A500A"/>
    <w:rsid w:val="006A5C35"/>
    <w:rsid w:val="006A7A28"/>
    <w:rsid w:val="006B0BF1"/>
    <w:rsid w:val="006B101C"/>
    <w:rsid w:val="006B32D0"/>
    <w:rsid w:val="006B3398"/>
    <w:rsid w:val="006B474D"/>
    <w:rsid w:val="006B5E8B"/>
    <w:rsid w:val="006C0E2F"/>
    <w:rsid w:val="006C2554"/>
    <w:rsid w:val="006C2713"/>
    <w:rsid w:val="006C2B0F"/>
    <w:rsid w:val="006C4B6F"/>
    <w:rsid w:val="006C4E32"/>
    <w:rsid w:val="006C5B53"/>
    <w:rsid w:val="006D1050"/>
    <w:rsid w:val="006D2078"/>
    <w:rsid w:val="006D3027"/>
    <w:rsid w:val="006D4098"/>
    <w:rsid w:val="006E081F"/>
    <w:rsid w:val="006E16D1"/>
    <w:rsid w:val="006E2A1F"/>
    <w:rsid w:val="006E3A77"/>
    <w:rsid w:val="006E60CD"/>
    <w:rsid w:val="006E7F16"/>
    <w:rsid w:val="006E7F88"/>
    <w:rsid w:val="006F162C"/>
    <w:rsid w:val="006F1CBF"/>
    <w:rsid w:val="006F2543"/>
    <w:rsid w:val="006F2B92"/>
    <w:rsid w:val="006F3C20"/>
    <w:rsid w:val="006F7E52"/>
    <w:rsid w:val="007002B3"/>
    <w:rsid w:val="00701C89"/>
    <w:rsid w:val="00702008"/>
    <w:rsid w:val="0070338E"/>
    <w:rsid w:val="007036D2"/>
    <w:rsid w:val="00704209"/>
    <w:rsid w:val="00704250"/>
    <w:rsid w:val="00705A36"/>
    <w:rsid w:val="00705F64"/>
    <w:rsid w:val="00706051"/>
    <w:rsid w:val="007106BA"/>
    <w:rsid w:val="00710BF1"/>
    <w:rsid w:val="00710E44"/>
    <w:rsid w:val="00711EEA"/>
    <w:rsid w:val="0071275A"/>
    <w:rsid w:val="00712AEA"/>
    <w:rsid w:val="00714021"/>
    <w:rsid w:val="0071477E"/>
    <w:rsid w:val="00715906"/>
    <w:rsid w:val="00715975"/>
    <w:rsid w:val="00716045"/>
    <w:rsid w:val="00720156"/>
    <w:rsid w:val="00720FB9"/>
    <w:rsid w:val="00724396"/>
    <w:rsid w:val="007247FD"/>
    <w:rsid w:val="00724C28"/>
    <w:rsid w:val="00732938"/>
    <w:rsid w:val="00735EA5"/>
    <w:rsid w:val="00737E11"/>
    <w:rsid w:val="0074026C"/>
    <w:rsid w:val="0074044B"/>
    <w:rsid w:val="0074153B"/>
    <w:rsid w:val="007432EB"/>
    <w:rsid w:val="0074488A"/>
    <w:rsid w:val="0074535D"/>
    <w:rsid w:val="00745DC4"/>
    <w:rsid w:val="00746522"/>
    <w:rsid w:val="007472FC"/>
    <w:rsid w:val="00747719"/>
    <w:rsid w:val="00751442"/>
    <w:rsid w:val="007517A3"/>
    <w:rsid w:val="00752CB1"/>
    <w:rsid w:val="00753E34"/>
    <w:rsid w:val="00755F6B"/>
    <w:rsid w:val="007616B4"/>
    <w:rsid w:val="007617FB"/>
    <w:rsid w:val="0076218A"/>
    <w:rsid w:val="0076224E"/>
    <w:rsid w:val="00762EC5"/>
    <w:rsid w:val="007651E9"/>
    <w:rsid w:val="0076532C"/>
    <w:rsid w:val="00765433"/>
    <w:rsid w:val="00766287"/>
    <w:rsid w:val="00773BA7"/>
    <w:rsid w:val="00774008"/>
    <w:rsid w:val="007750E4"/>
    <w:rsid w:val="00775118"/>
    <w:rsid w:val="00775D14"/>
    <w:rsid w:val="007807DC"/>
    <w:rsid w:val="007808DF"/>
    <w:rsid w:val="00780BF6"/>
    <w:rsid w:val="0078299A"/>
    <w:rsid w:val="00791700"/>
    <w:rsid w:val="007956C8"/>
    <w:rsid w:val="00796E83"/>
    <w:rsid w:val="007975D0"/>
    <w:rsid w:val="007A1F4E"/>
    <w:rsid w:val="007A3235"/>
    <w:rsid w:val="007A336E"/>
    <w:rsid w:val="007A462E"/>
    <w:rsid w:val="007A52C9"/>
    <w:rsid w:val="007A607E"/>
    <w:rsid w:val="007A6C77"/>
    <w:rsid w:val="007A76A2"/>
    <w:rsid w:val="007A7D39"/>
    <w:rsid w:val="007B0977"/>
    <w:rsid w:val="007B2327"/>
    <w:rsid w:val="007B25C3"/>
    <w:rsid w:val="007C1ED9"/>
    <w:rsid w:val="007C2429"/>
    <w:rsid w:val="007C34C0"/>
    <w:rsid w:val="007C355F"/>
    <w:rsid w:val="007C4D62"/>
    <w:rsid w:val="007C6542"/>
    <w:rsid w:val="007C6EBF"/>
    <w:rsid w:val="007C795C"/>
    <w:rsid w:val="007D031C"/>
    <w:rsid w:val="007D114F"/>
    <w:rsid w:val="007D21A7"/>
    <w:rsid w:val="007D42E9"/>
    <w:rsid w:val="007D50BB"/>
    <w:rsid w:val="007D5BCE"/>
    <w:rsid w:val="007D65C5"/>
    <w:rsid w:val="007D798B"/>
    <w:rsid w:val="007E1A0C"/>
    <w:rsid w:val="007E1C8B"/>
    <w:rsid w:val="007E27AF"/>
    <w:rsid w:val="007E2CD5"/>
    <w:rsid w:val="007E3253"/>
    <w:rsid w:val="007E32CC"/>
    <w:rsid w:val="007E3931"/>
    <w:rsid w:val="007E3BC4"/>
    <w:rsid w:val="007E4308"/>
    <w:rsid w:val="007E66D0"/>
    <w:rsid w:val="007E7B14"/>
    <w:rsid w:val="007F02DB"/>
    <w:rsid w:val="007F1B8F"/>
    <w:rsid w:val="007F3D8A"/>
    <w:rsid w:val="007F51A0"/>
    <w:rsid w:val="007F5531"/>
    <w:rsid w:val="007F56D4"/>
    <w:rsid w:val="007F62AB"/>
    <w:rsid w:val="007F6C2C"/>
    <w:rsid w:val="007F6D98"/>
    <w:rsid w:val="00801E93"/>
    <w:rsid w:val="0080233D"/>
    <w:rsid w:val="00802F4B"/>
    <w:rsid w:val="008040B6"/>
    <w:rsid w:val="00804C6C"/>
    <w:rsid w:val="00806A7D"/>
    <w:rsid w:val="008100B7"/>
    <w:rsid w:val="008101CF"/>
    <w:rsid w:val="00811A1B"/>
    <w:rsid w:val="00812DC9"/>
    <w:rsid w:val="00812F17"/>
    <w:rsid w:val="00814868"/>
    <w:rsid w:val="00814E4A"/>
    <w:rsid w:val="0081725A"/>
    <w:rsid w:val="00817722"/>
    <w:rsid w:val="008206FB"/>
    <w:rsid w:val="008217E5"/>
    <w:rsid w:val="00822B01"/>
    <w:rsid w:val="00823AC6"/>
    <w:rsid w:val="008245E3"/>
    <w:rsid w:val="00826570"/>
    <w:rsid w:val="00826769"/>
    <w:rsid w:val="00826B08"/>
    <w:rsid w:val="008311F2"/>
    <w:rsid w:val="00831747"/>
    <w:rsid w:val="00832333"/>
    <w:rsid w:val="00835909"/>
    <w:rsid w:val="00835C18"/>
    <w:rsid w:val="00836A46"/>
    <w:rsid w:val="008453AA"/>
    <w:rsid w:val="00847415"/>
    <w:rsid w:val="00847FF1"/>
    <w:rsid w:val="008506EC"/>
    <w:rsid w:val="00850F38"/>
    <w:rsid w:val="00856AF8"/>
    <w:rsid w:val="0086038D"/>
    <w:rsid w:val="008611E4"/>
    <w:rsid w:val="00861E21"/>
    <w:rsid w:val="0086231C"/>
    <w:rsid w:val="008626F8"/>
    <w:rsid w:val="0086334F"/>
    <w:rsid w:val="008645D3"/>
    <w:rsid w:val="00865155"/>
    <w:rsid w:val="00866015"/>
    <w:rsid w:val="00867D1F"/>
    <w:rsid w:val="008702E8"/>
    <w:rsid w:val="008706C7"/>
    <w:rsid w:val="008707BB"/>
    <w:rsid w:val="008708ED"/>
    <w:rsid w:val="00870A5E"/>
    <w:rsid w:val="00872BA2"/>
    <w:rsid w:val="008735C9"/>
    <w:rsid w:val="00873E90"/>
    <w:rsid w:val="00874D93"/>
    <w:rsid w:val="00880348"/>
    <w:rsid w:val="008810FB"/>
    <w:rsid w:val="008849B0"/>
    <w:rsid w:val="00885809"/>
    <w:rsid w:val="00885FBD"/>
    <w:rsid w:val="008863B8"/>
    <w:rsid w:val="0088657E"/>
    <w:rsid w:val="00887001"/>
    <w:rsid w:val="008870AE"/>
    <w:rsid w:val="00891DC2"/>
    <w:rsid w:val="00892683"/>
    <w:rsid w:val="00893361"/>
    <w:rsid w:val="00895B8B"/>
    <w:rsid w:val="008A05BB"/>
    <w:rsid w:val="008A1548"/>
    <w:rsid w:val="008A2EF0"/>
    <w:rsid w:val="008A317E"/>
    <w:rsid w:val="008A35A3"/>
    <w:rsid w:val="008A3B18"/>
    <w:rsid w:val="008A3C7E"/>
    <w:rsid w:val="008B0590"/>
    <w:rsid w:val="008B0FFB"/>
    <w:rsid w:val="008B1CBD"/>
    <w:rsid w:val="008B1FA5"/>
    <w:rsid w:val="008B57B1"/>
    <w:rsid w:val="008B7441"/>
    <w:rsid w:val="008C0998"/>
    <w:rsid w:val="008C1F38"/>
    <w:rsid w:val="008C3672"/>
    <w:rsid w:val="008C3B5E"/>
    <w:rsid w:val="008C428A"/>
    <w:rsid w:val="008C653E"/>
    <w:rsid w:val="008C6B44"/>
    <w:rsid w:val="008C6CB4"/>
    <w:rsid w:val="008C7555"/>
    <w:rsid w:val="008D1625"/>
    <w:rsid w:val="008D32A4"/>
    <w:rsid w:val="008D3574"/>
    <w:rsid w:val="008D3836"/>
    <w:rsid w:val="008D57EE"/>
    <w:rsid w:val="008D59CC"/>
    <w:rsid w:val="008D5BE4"/>
    <w:rsid w:val="008D5F91"/>
    <w:rsid w:val="008D6BC8"/>
    <w:rsid w:val="008D785A"/>
    <w:rsid w:val="008E3293"/>
    <w:rsid w:val="008E499D"/>
    <w:rsid w:val="008E6451"/>
    <w:rsid w:val="008F335C"/>
    <w:rsid w:val="008F3E75"/>
    <w:rsid w:val="008F4306"/>
    <w:rsid w:val="008F43D5"/>
    <w:rsid w:val="008F6A6B"/>
    <w:rsid w:val="008F7C29"/>
    <w:rsid w:val="008F7DE4"/>
    <w:rsid w:val="00900348"/>
    <w:rsid w:val="00900428"/>
    <w:rsid w:val="009009A9"/>
    <w:rsid w:val="009012FA"/>
    <w:rsid w:val="0090143F"/>
    <w:rsid w:val="0090149F"/>
    <w:rsid w:val="00903082"/>
    <w:rsid w:val="009044F8"/>
    <w:rsid w:val="0090474F"/>
    <w:rsid w:val="00904A91"/>
    <w:rsid w:val="00905B45"/>
    <w:rsid w:val="00907F40"/>
    <w:rsid w:val="00911921"/>
    <w:rsid w:val="00913C98"/>
    <w:rsid w:val="00914976"/>
    <w:rsid w:val="00920206"/>
    <w:rsid w:val="00920438"/>
    <w:rsid w:val="00920B59"/>
    <w:rsid w:val="0092277D"/>
    <w:rsid w:val="00922C64"/>
    <w:rsid w:val="00923331"/>
    <w:rsid w:val="00923377"/>
    <w:rsid w:val="009251D8"/>
    <w:rsid w:val="00925598"/>
    <w:rsid w:val="00926B54"/>
    <w:rsid w:val="00932BF0"/>
    <w:rsid w:val="00932D36"/>
    <w:rsid w:val="00935A1A"/>
    <w:rsid w:val="009410A1"/>
    <w:rsid w:val="009464D1"/>
    <w:rsid w:val="00946554"/>
    <w:rsid w:val="009467CF"/>
    <w:rsid w:val="00947381"/>
    <w:rsid w:val="009508B3"/>
    <w:rsid w:val="009522C9"/>
    <w:rsid w:val="009526D9"/>
    <w:rsid w:val="009539F1"/>
    <w:rsid w:val="00954E85"/>
    <w:rsid w:val="00955182"/>
    <w:rsid w:val="00956DCB"/>
    <w:rsid w:val="009575CC"/>
    <w:rsid w:val="00957DCB"/>
    <w:rsid w:val="009604D1"/>
    <w:rsid w:val="00960807"/>
    <w:rsid w:val="00960B48"/>
    <w:rsid w:val="0096245F"/>
    <w:rsid w:val="0096310A"/>
    <w:rsid w:val="009639EA"/>
    <w:rsid w:val="00967B3A"/>
    <w:rsid w:val="00970108"/>
    <w:rsid w:val="009707BF"/>
    <w:rsid w:val="00972748"/>
    <w:rsid w:val="009736DF"/>
    <w:rsid w:val="009744AD"/>
    <w:rsid w:val="00980B27"/>
    <w:rsid w:val="00980DA9"/>
    <w:rsid w:val="00982329"/>
    <w:rsid w:val="0098716E"/>
    <w:rsid w:val="00990231"/>
    <w:rsid w:val="0099087B"/>
    <w:rsid w:val="00990DAC"/>
    <w:rsid w:val="00993CCD"/>
    <w:rsid w:val="00994D50"/>
    <w:rsid w:val="0099508F"/>
    <w:rsid w:val="009950DE"/>
    <w:rsid w:val="009961CD"/>
    <w:rsid w:val="009977DC"/>
    <w:rsid w:val="009A1909"/>
    <w:rsid w:val="009A2338"/>
    <w:rsid w:val="009A39CC"/>
    <w:rsid w:val="009A570F"/>
    <w:rsid w:val="009A5810"/>
    <w:rsid w:val="009A5FEE"/>
    <w:rsid w:val="009A649F"/>
    <w:rsid w:val="009A7E8A"/>
    <w:rsid w:val="009B0930"/>
    <w:rsid w:val="009B23F2"/>
    <w:rsid w:val="009B3BF7"/>
    <w:rsid w:val="009B3D14"/>
    <w:rsid w:val="009B73DF"/>
    <w:rsid w:val="009C5AA1"/>
    <w:rsid w:val="009D0C40"/>
    <w:rsid w:val="009D471B"/>
    <w:rsid w:val="009D4FF6"/>
    <w:rsid w:val="009D7935"/>
    <w:rsid w:val="009D79D0"/>
    <w:rsid w:val="009D7D29"/>
    <w:rsid w:val="009E07A7"/>
    <w:rsid w:val="009E178C"/>
    <w:rsid w:val="009E4C28"/>
    <w:rsid w:val="009E56B5"/>
    <w:rsid w:val="009F1946"/>
    <w:rsid w:val="009F4DA2"/>
    <w:rsid w:val="009F52DE"/>
    <w:rsid w:val="009F6788"/>
    <w:rsid w:val="009F7C68"/>
    <w:rsid w:val="00A01848"/>
    <w:rsid w:val="00A01DFC"/>
    <w:rsid w:val="00A0415F"/>
    <w:rsid w:val="00A04AEC"/>
    <w:rsid w:val="00A0732C"/>
    <w:rsid w:val="00A1086A"/>
    <w:rsid w:val="00A10F06"/>
    <w:rsid w:val="00A12722"/>
    <w:rsid w:val="00A12A8F"/>
    <w:rsid w:val="00A12AE6"/>
    <w:rsid w:val="00A12B22"/>
    <w:rsid w:val="00A13164"/>
    <w:rsid w:val="00A13E0E"/>
    <w:rsid w:val="00A1493D"/>
    <w:rsid w:val="00A15607"/>
    <w:rsid w:val="00A162D4"/>
    <w:rsid w:val="00A16345"/>
    <w:rsid w:val="00A2109F"/>
    <w:rsid w:val="00A213FF"/>
    <w:rsid w:val="00A22A14"/>
    <w:rsid w:val="00A22E7E"/>
    <w:rsid w:val="00A25C30"/>
    <w:rsid w:val="00A2640D"/>
    <w:rsid w:val="00A3082F"/>
    <w:rsid w:val="00A3135D"/>
    <w:rsid w:val="00A3274F"/>
    <w:rsid w:val="00A354E8"/>
    <w:rsid w:val="00A360BB"/>
    <w:rsid w:val="00A40386"/>
    <w:rsid w:val="00A4053A"/>
    <w:rsid w:val="00A4069D"/>
    <w:rsid w:val="00A412E1"/>
    <w:rsid w:val="00A41B4F"/>
    <w:rsid w:val="00A41CB4"/>
    <w:rsid w:val="00A430AC"/>
    <w:rsid w:val="00A4455C"/>
    <w:rsid w:val="00A45EA9"/>
    <w:rsid w:val="00A45FAC"/>
    <w:rsid w:val="00A469D4"/>
    <w:rsid w:val="00A5102B"/>
    <w:rsid w:val="00A53071"/>
    <w:rsid w:val="00A5314A"/>
    <w:rsid w:val="00A57381"/>
    <w:rsid w:val="00A609F7"/>
    <w:rsid w:val="00A61BA7"/>
    <w:rsid w:val="00A63578"/>
    <w:rsid w:val="00A638D3"/>
    <w:rsid w:val="00A6588A"/>
    <w:rsid w:val="00A6605E"/>
    <w:rsid w:val="00A66D19"/>
    <w:rsid w:val="00A66F56"/>
    <w:rsid w:val="00A671B7"/>
    <w:rsid w:val="00A672AB"/>
    <w:rsid w:val="00A71079"/>
    <w:rsid w:val="00A715A4"/>
    <w:rsid w:val="00A727C6"/>
    <w:rsid w:val="00A7289B"/>
    <w:rsid w:val="00A7327E"/>
    <w:rsid w:val="00A7631C"/>
    <w:rsid w:val="00A772F7"/>
    <w:rsid w:val="00A77674"/>
    <w:rsid w:val="00A77AFE"/>
    <w:rsid w:val="00A77C69"/>
    <w:rsid w:val="00A77DAE"/>
    <w:rsid w:val="00A80624"/>
    <w:rsid w:val="00A8194F"/>
    <w:rsid w:val="00A81C23"/>
    <w:rsid w:val="00A82A19"/>
    <w:rsid w:val="00A832BF"/>
    <w:rsid w:val="00A83764"/>
    <w:rsid w:val="00A8417C"/>
    <w:rsid w:val="00A841D7"/>
    <w:rsid w:val="00A851AD"/>
    <w:rsid w:val="00A85218"/>
    <w:rsid w:val="00A85390"/>
    <w:rsid w:val="00A86D5B"/>
    <w:rsid w:val="00A87887"/>
    <w:rsid w:val="00A87897"/>
    <w:rsid w:val="00A91DC9"/>
    <w:rsid w:val="00A92F77"/>
    <w:rsid w:val="00A94E1A"/>
    <w:rsid w:val="00AA19AE"/>
    <w:rsid w:val="00AA2EF6"/>
    <w:rsid w:val="00AA3462"/>
    <w:rsid w:val="00AA5427"/>
    <w:rsid w:val="00AB0984"/>
    <w:rsid w:val="00AB0C10"/>
    <w:rsid w:val="00AB0F8A"/>
    <w:rsid w:val="00AB173E"/>
    <w:rsid w:val="00AB2ADB"/>
    <w:rsid w:val="00AB2D50"/>
    <w:rsid w:val="00AB5D97"/>
    <w:rsid w:val="00AB60DA"/>
    <w:rsid w:val="00AB6A3C"/>
    <w:rsid w:val="00AC03F8"/>
    <w:rsid w:val="00AC0A8F"/>
    <w:rsid w:val="00AC3C35"/>
    <w:rsid w:val="00AC5414"/>
    <w:rsid w:val="00AC58FA"/>
    <w:rsid w:val="00AD0B7D"/>
    <w:rsid w:val="00AD11F5"/>
    <w:rsid w:val="00AD2AA7"/>
    <w:rsid w:val="00AD5651"/>
    <w:rsid w:val="00AE1354"/>
    <w:rsid w:val="00AE225E"/>
    <w:rsid w:val="00AE2FCB"/>
    <w:rsid w:val="00AE4675"/>
    <w:rsid w:val="00AE4E2E"/>
    <w:rsid w:val="00AF128F"/>
    <w:rsid w:val="00AF19B2"/>
    <w:rsid w:val="00AF2673"/>
    <w:rsid w:val="00AF35FB"/>
    <w:rsid w:val="00AF4130"/>
    <w:rsid w:val="00AF4974"/>
    <w:rsid w:val="00AF655F"/>
    <w:rsid w:val="00B00BD1"/>
    <w:rsid w:val="00B00D04"/>
    <w:rsid w:val="00B045A2"/>
    <w:rsid w:val="00B05B75"/>
    <w:rsid w:val="00B135E8"/>
    <w:rsid w:val="00B13EC4"/>
    <w:rsid w:val="00B157E7"/>
    <w:rsid w:val="00B162D7"/>
    <w:rsid w:val="00B16486"/>
    <w:rsid w:val="00B17013"/>
    <w:rsid w:val="00B1721A"/>
    <w:rsid w:val="00B17C0F"/>
    <w:rsid w:val="00B255F9"/>
    <w:rsid w:val="00B274F2"/>
    <w:rsid w:val="00B2761B"/>
    <w:rsid w:val="00B30E51"/>
    <w:rsid w:val="00B32EEE"/>
    <w:rsid w:val="00B33592"/>
    <w:rsid w:val="00B33C6D"/>
    <w:rsid w:val="00B34FCA"/>
    <w:rsid w:val="00B355B5"/>
    <w:rsid w:val="00B372A9"/>
    <w:rsid w:val="00B417FB"/>
    <w:rsid w:val="00B42098"/>
    <w:rsid w:val="00B4216B"/>
    <w:rsid w:val="00B424D2"/>
    <w:rsid w:val="00B429B7"/>
    <w:rsid w:val="00B43966"/>
    <w:rsid w:val="00B4517F"/>
    <w:rsid w:val="00B46BFC"/>
    <w:rsid w:val="00B470EF"/>
    <w:rsid w:val="00B4750B"/>
    <w:rsid w:val="00B5015C"/>
    <w:rsid w:val="00B514F5"/>
    <w:rsid w:val="00B52157"/>
    <w:rsid w:val="00B53418"/>
    <w:rsid w:val="00B5371F"/>
    <w:rsid w:val="00B547C9"/>
    <w:rsid w:val="00B551EC"/>
    <w:rsid w:val="00B55EA7"/>
    <w:rsid w:val="00B571EF"/>
    <w:rsid w:val="00B57EC1"/>
    <w:rsid w:val="00B604FF"/>
    <w:rsid w:val="00B6119F"/>
    <w:rsid w:val="00B64010"/>
    <w:rsid w:val="00B647E9"/>
    <w:rsid w:val="00B651DB"/>
    <w:rsid w:val="00B70794"/>
    <w:rsid w:val="00B71390"/>
    <w:rsid w:val="00B751CD"/>
    <w:rsid w:val="00B76F5D"/>
    <w:rsid w:val="00B80BAF"/>
    <w:rsid w:val="00B82F7C"/>
    <w:rsid w:val="00B83E55"/>
    <w:rsid w:val="00B83FAA"/>
    <w:rsid w:val="00B84704"/>
    <w:rsid w:val="00B85AA6"/>
    <w:rsid w:val="00B85DEA"/>
    <w:rsid w:val="00B871D0"/>
    <w:rsid w:val="00B90E39"/>
    <w:rsid w:val="00B92928"/>
    <w:rsid w:val="00B943E5"/>
    <w:rsid w:val="00B9491E"/>
    <w:rsid w:val="00BA0922"/>
    <w:rsid w:val="00BA0E62"/>
    <w:rsid w:val="00BA1630"/>
    <w:rsid w:val="00BA22D9"/>
    <w:rsid w:val="00BA290D"/>
    <w:rsid w:val="00BA3E35"/>
    <w:rsid w:val="00BA48F5"/>
    <w:rsid w:val="00BA5F2B"/>
    <w:rsid w:val="00BA6C39"/>
    <w:rsid w:val="00BB170B"/>
    <w:rsid w:val="00BB19D4"/>
    <w:rsid w:val="00BB1AE3"/>
    <w:rsid w:val="00BB22E5"/>
    <w:rsid w:val="00BB44D0"/>
    <w:rsid w:val="00BB4598"/>
    <w:rsid w:val="00BB5502"/>
    <w:rsid w:val="00BB6ACE"/>
    <w:rsid w:val="00BB77E1"/>
    <w:rsid w:val="00BB7FA0"/>
    <w:rsid w:val="00BC0F6D"/>
    <w:rsid w:val="00BC2F83"/>
    <w:rsid w:val="00BC67F1"/>
    <w:rsid w:val="00BD0887"/>
    <w:rsid w:val="00BD18AA"/>
    <w:rsid w:val="00BD2003"/>
    <w:rsid w:val="00BD2515"/>
    <w:rsid w:val="00BD491E"/>
    <w:rsid w:val="00BD6C70"/>
    <w:rsid w:val="00BE0FD0"/>
    <w:rsid w:val="00BE173E"/>
    <w:rsid w:val="00BE63F6"/>
    <w:rsid w:val="00BE7C1D"/>
    <w:rsid w:val="00BE7E16"/>
    <w:rsid w:val="00BF1F8D"/>
    <w:rsid w:val="00BF258C"/>
    <w:rsid w:val="00BF56F7"/>
    <w:rsid w:val="00BF5BF4"/>
    <w:rsid w:val="00BF7D89"/>
    <w:rsid w:val="00C00013"/>
    <w:rsid w:val="00C005F6"/>
    <w:rsid w:val="00C02EB4"/>
    <w:rsid w:val="00C04C7B"/>
    <w:rsid w:val="00C063CB"/>
    <w:rsid w:val="00C10906"/>
    <w:rsid w:val="00C115BD"/>
    <w:rsid w:val="00C144F3"/>
    <w:rsid w:val="00C16171"/>
    <w:rsid w:val="00C1696A"/>
    <w:rsid w:val="00C21C1A"/>
    <w:rsid w:val="00C22698"/>
    <w:rsid w:val="00C2402B"/>
    <w:rsid w:val="00C243D7"/>
    <w:rsid w:val="00C267F4"/>
    <w:rsid w:val="00C26A73"/>
    <w:rsid w:val="00C2779E"/>
    <w:rsid w:val="00C33A5E"/>
    <w:rsid w:val="00C34432"/>
    <w:rsid w:val="00C349BB"/>
    <w:rsid w:val="00C34C16"/>
    <w:rsid w:val="00C351AC"/>
    <w:rsid w:val="00C35FFB"/>
    <w:rsid w:val="00C36869"/>
    <w:rsid w:val="00C372F4"/>
    <w:rsid w:val="00C37E58"/>
    <w:rsid w:val="00C41BE4"/>
    <w:rsid w:val="00C42584"/>
    <w:rsid w:val="00C43637"/>
    <w:rsid w:val="00C43C8C"/>
    <w:rsid w:val="00C43F51"/>
    <w:rsid w:val="00C44D55"/>
    <w:rsid w:val="00C4519D"/>
    <w:rsid w:val="00C45A47"/>
    <w:rsid w:val="00C45DA4"/>
    <w:rsid w:val="00C46127"/>
    <w:rsid w:val="00C474A1"/>
    <w:rsid w:val="00C47F0E"/>
    <w:rsid w:val="00C501E5"/>
    <w:rsid w:val="00C50EB9"/>
    <w:rsid w:val="00C52FC7"/>
    <w:rsid w:val="00C5409C"/>
    <w:rsid w:val="00C567EF"/>
    <w:rsid w:val="00C56801"/>
    <w:rsid w:val="00C56934"/>
    <w:rsid w:val="00C57236"/>
    <w:rsid w:val="00C605EF"/>
    <w:rsid w:val="00C611A2"/>
    <w:rsid w:val="00C64122"/>
    <w:rsid w:val="00C64278"/>
    <w:rsid w:val="00C70C15"/>
    <w:rsid w:val="00C72D7B"/>
    <w:rsid w:val="00C73477"/>
    <w:rsid w:val="00C749B1"/>
    <w:rsid w:val="00C76916"/>
    <w:rsid w:val="00C7717F"/>
    <w:rsid w:val="00C77784"/>
    <w:rsid w:val="00C81B27"/>
    <w:rsid w:val="00C81F34"/>
    <w:rsid w:val="00C83387"/>
    <w:rsid w:val="00C839FA"/>
    <w:rsid w:val="00C848E8"/>
    <w:rsid w:val="00C87544"/>
    <w:rsid w:val="00C904FB"/>
    <w:rsid w:val="00C90607"/>
    <w:rsid w:val="00C90696"/>
    <w:rsid w:val="00C9146A"/>
    <w:rsid w:val="00C9168B"/>
    <w:rsid w:val="00C94941"/>
    <w:rsid w:val="00CA0847"/>
    <w:rsid w:val="00CA4627"/>
    <w:rsid w:val="00CA62D5"/>
    <w:rsid w:val="00CB29DF"/>
    <w:rsid w:val="00CC1030"/>
    <w:rsid w:val="00CC1BBA"/>
    <w:rsid w:val="00CC48F6"/>
    <w:rsid w:val="00CC4D98"/>
    <w:rsid w:val="00CC608F"/>
    <w:rsid w:val="00CC66E2"/>
    <w:rsid w:val="00CD0C45"/>
    <w:rsid w:val="00CD354E"/>
    <w:rsid w:val="00CD3D54"/>
    <w:rsid w:val="00CD45B7"/>
    <w:rsid w:val="00CD77EC"/>
    <w:rsid w:val="00CE0BF5"/>
    <w:rsid w:val="00CE1827"/>
    <w:rsid w:val="00CE1CDB"/>
    <w:rsid w:val="00CE2455"/>
    <w:rsid w:val="00CE3E68"/>
    <w:rsid w:val="00CE4110"/>
    <w:rsid w:val="00CE72A8"/>
    <w:rsid w:val="00CF1134"/>
    <w:rsid w:val="00CF2235"/>
    <w:rsid w:val="00CF2A9F"/>
    <w:rsid w:val="00CF2DBD"/>
    <w:rsid w:val="00CF36A9"/>
    <w:rsid w:val="00CF3CC8"/>
    <w:rsid w:val="00CF5D95"/>
    <w:rsid w:val="00CF60F8"/>
    <w:rsid w:val="00CF7384"/>
    <w:rsid w:val="00CF74A5"/>
    <w:rsid w:val="00CF74AB"/>
    <w:rsid w:val="00CF7D10"/>
    <w:rsid w:val="00D03F47"/>
    <w:rsid w:val="00D05236"/>
    <w:rsid w:val="00D07BFA"/>
    <w:rsid w:val="00D07BFD"/>
    <w:rsid w:val="00D11476"/>
    <w:rsid w:val="00D11620"/>
    <w:rsid w:val="00D15560"/>
    <w:rsid w:val="00D16231"/>
    <w:rsid w:val="00D259E4"/>
    <w:rsid w:val="00D31EC3"/>
    <w:rsid w:val="00D326B5"/>
    <w:rsid w:val="00D34675"/>
    <w:rsid w:val="00D36952"/>
    <w:rsid w:val="00D36D09"/>
    <w:rsid w:val="00D43219"/>
    <w:rsid w:val="00D43570"/>
    <w:rsid w:val="00D43DF7"/>
    <w:rsid w:val="00D441C3"/>
    <w:rsid w:val="00D44687"/>
    <w:rsid w:val="00D44FFA"/>
    <w:rsid w:val="00D45A15"/>
    <w:rsid w:val="00D460D3"/>
    <w:rsid w:val="00D47E2B"/>
    <w:rsid w:val="00D51F65"/>
    <w:rsid w:val="00D52353"/>
    <w:rsid w:val="00D52969"/>
    <w:rsid w:val="00D52CA2"/>
    <w:rsid w:val="00D54E36"/>
    <w:rsid w:val="00D5682F"/>
    <w:rsid w:val="00D61123"/>
    <w:rsid w:val="00D62F60"/>
    <w:rsid w:val="00D649B3"/>
    <w:rsid w:val="00D66C25"/>
    <w:rsid w:val="00D67581"/>
    <w:rsid w:val="00D70232"/>
    <w:rsid w:val="00D738C8"/>
    <w:rsid w:val="00D7427B"/>
    <w:rsid w:val="00D74F62"/>
    <w:rsid w:val="00D75412"/>
    <w:rsid w:val="00D81EE8"/>
    <w:rsid w:val="00D822EF"/>
    <w:rsid w:val="00D85E7B"/>
    <w:rsid w:val="00D86863"/>
    <w:rsid w:val="00D86C54"/>
    <w:rsid w:val="00D8721A"/>
    <w:rsid w:val="00D8742D"/>
    <w:rsid w:val="00D91C10"/>
    <w:rsid w:val="00D92BD5"/>
    <w:rsid w:val="00D92F33"/>
    <w:rsid w:val="00D940B0"/>
    <w:rsid w:val="00D94375"/>
    <w:rsid w:val="00DA0BC0"/>
    <w:rsid w:val="00DA2534"/>
    <w:rsid w:val="00DA31F5"/>
    <w:rsid w:val="00DA4A84"/>
    <w:rsid w:val="00DA62E3"/>
    <w:rsid w:val="00DA6B3A"/>
    <w:rsid w:val="00DA781B"/>
    <w:rsid w:val="00DA7E65"/>
    <w:rsid w:val="00DB23F0"/>
    <w:rsid w:val="00DB307F"/>
    <w:rsid w:val="00DB4143"/>
    <w:rsid w:val="00DB53C9"/>
    <w:rsid w:val="00DB6CE9"/>
    <w:rsid w:val="00DB7596"/>
    <w:rsid w:val="00DB75EC"/>
    <w:rsid w:val="00DC1225"/>
    <w:rsid w:val="00DC19FB"/>
    <w:rsid w:val="00DC1DF8"/>
    <w:rsid w:val="00DC3034"/>
    <w:rsid w:val="00DC4EE5"/>
    <w:rsid w:val="00DC6F88"/>
    <w:rsid w:val="00DC6FB2"/>
    <w:rsid w:val="00DC774A"/>
    <w:rsid w:val="00DD0C03"/>
    <w:rsid w:val="00DD0E2A"/>
    <w:rsid w:val="00DD2683"/>
    <w:rsid w:val="00DD3387"/>
    <w:rsid w:val="00DD3D8A"/>
    <w:rsid w:val="00DD4984"/>
    <w:rsid w:val="00DD7248"/>
    <w:rsid w:val="00DD768B"/>
    <w:rsid w:val="00DE090B"/>
    <w:rsid w:val="00DE0E76"/>
    <w:rsid w:val="00DE0E8B"/>
    <w:rsid w:val="00DE25CB"/>
    <w:rsid w:val="00DE2B18"/>
    <w:rsid w:val="00DE2C18"/>
    <w:rsid w:val="00DE2E61"/>
    <w:rsid w:val="00DE3FC4"/>
    <w:rsid w:val="00DE639E"/>
    <w:rsid w:val="00DF49D5"/>
    <w:rsid w:val="00DF53D1"/>
    <w:rsid w:val="00DF5B6C"/>
    <w:rsid w:val="00E014D7"/>
    <w:rsid w:val="00E03AD2"/>
    <w:rsid w:val="00E04217"/>
    <w:rsid w:val="00E05A8A"/>
    <w:rsid w:val="00E0601B"/>
    <w:rsid w:val="00E06DE3"/>
    <w:rsid w:val="00E079F7"/>
    <w:rsid w:val="00E126C7"/>
    <w:rsid w:val="00E15927"/>
    <w:rsid w:val="00E20083"/>
    <w:rsid w:val="00E21280"/>
    <w:rsid w:val="00E21CCF"/>
    <w:rsid w:val="00E21EC0"/>
    <w:rsid w:val="00E22F36"/>
    <w:rsid w:val="00E2477D"/>
    <w:rsid w:val="00E24FAA"/>
    <w:rsid w:val="00E261C7"/>
    <w:rsid w:val="00E301DA"/>
    <w:rsid w:val="00E30FB2"/>
    <w:rsid w:val="00E31097"/>
    <w:rsid w:val="00E317E5"/>
    <w:rsid w:val="00E3340B"/>
    <w:rsid w:val="00E34515"/>
    <w:rsid w:val="00E372AC"/>
    <w:rsid w:val="00E41CD9"/>
    <w:rsid w:val="00E42595"/>
    <w:rsid w:val="00E434B6"/>
    <w:rsid w:val="00E502EC"/>
    <w:rsid w:val="00E5051F"/>
    <w:rsid w:val="00E51E58"/>
    <w:rsid w:val="00E5424F"/>
    <w:rsid w:val="00E543E1"/>
    <w:rsid w:val="00E60351"/>
    <w:rsid w:val="00E62304"/>
    <w:rsid w:val="00E648CD"/>
    <w:rsid w:val="00E651AC"/>
    <w:rsid w:val="00E703A5"/>
    <w:rsid w:val="00E71C5B"/>
    <w:rsid w:val="00E73C21"/>
    <w:rsid w:val="00E74815"/>
    <w:rsid w:val="00E800A4"/>
    <w:rsid w:val="00E813F7"/>
    <w:rsid w:val="00E81E2B"/>
    <w:rsid w:val="00E82857"/>
    <w:rsid w:val="00E834E5"/>
    <w:rsid w:val="00E90065"/>
    <w:rsid w:val="00E92354"/>
    <w:rsid w:val="00E947D8"/>
    <w:rsid w:val="00E96C56"/>
    <w:rsid w:val="00EA0ABF"/>
    <w:rsid w:val="00EA12E7"/>
    <w:rsid w:val="00EA2779"/>
    <w:rsid w:val="00EA28AD"/>
    <w:rsid w:val="00EA2E3A"/>
    <w:rsid w:val="00EA40BE"/>
    <w:rsid w:val="00EA4FA7"/>
    <w:rsid w:val="00EA53C2"/>
    <w:rsid w:val="00EA5859"/>
    <w:rsid w:val="00EA5AD8"/>
    <w:rsid w:val="00EA720D"/>
    <w:rsid w:val="00EA77BF"/>
    <w:rsid w:val="00EB1CA1"/>
    <w:rsid w:val="00EB228F"/>
    <w:rsid w:val="00EB2D2F"/>
    <w:rsid w:val="00EB35D6"/>
    <w:rsid w:val="00EB55D3"/>
    <w:rsid w:val="00EB676E"/>
    <w:rsid w:val="00EB6A0D"/>
    <w:rsid w:val="00EB7293"/>
    <w:rsid w:val="00EB744D"/>
    <w:rsid w:val="00EB7F6D"/>
    <w:rsid w:val="00EC030D"/>
    <w:rsid w:val="00EC077E"/>
    <w:rsid w:val="00EC07AB"/>
    <w:rsid w:val="00EC1057"/>
    <w:rsid w:val="00EC235B"/>
    <w:rsid w:val="00EC261E"/>
    <w:rsid w:val="00EC2635"/>
    <w:rsid w:val="00EC35FF"/>
    <w:rsid w:val="00EC54C7"/>
    <w:rsid w:val="00ED3BA6"/>
    <w:rsid w:val="00ED4EA6"/>
    <w:rsid w:val="00ED6264"/>
    <w:rsid w:val="00ED78C7"/>
    <w:rsid w:val="00EE42A0"/>
    <w:rsid w:val="00EE45A0"/>
    <w:rsid w:val="00EE4FBD"/>
    <w:rsid w:val="00EE6C01"/>
    <w:rsid w:val="00EF063D"/>
    <w:rsid w:val="00EF09A8"/>
    <w:rsid w:val="00EF0B0F"/>
    <w:rsid w:val="00EF1044"/>
    <w:rsid w:val="00EF18DF"/>
    <w:rsid w:val="00EF268E"/>
    <w:rsid w:val="00EF293A"/>
    <w:rsid w:val="00EF2BF6"/>
    <w:rsid w:val="00EF2DBF"/>
    <w:rsid w:val="00F003D1"/>
    <w:rsid w:val="00F0370E"/>
    <w:rsid w:val="00F0528D"/>
    <w:rsid w:val="00F1027F"/>
    <w:rsid w:val="00F10727"/>
    <w:rsid w:val="00F124AF"/>
    <w:rsid w:val="00F13AD5"/>
    <w:rsid w:val="00F13D10"/>
    <w:rsid w:val="00F155A2"/>
    <w:rsid w:val="00F15B5B"/>
    <w:rsid w:val="00F1765F"/>
    <w:rsid w:val="00F2022A"/>
    <w:rsid w:val="00F20759"/>
    <w:rsid w:val="00F207A9"/>
    <w:rsid w:val="00F226DF"/>
    <w:rsid w:val="00F26B76"/>
    <w:rsid w:val="00F26FC1"/>
    <w:rsid w:val="00F278F2"/>
    <w:rsid w:val="00F27CBB"/>
    <w:rsid w:val="00F304CD"/>
    <w:rsid w:val="00F30D0A"/>
    <w:rsid w:val="00F31007"/>
    <w:rsid w:val="00F316E8"/>
    <w:rsid w:val="00F321E1"/>
    <w:rsid w:val="00F328E4"/>
    <w:rsid w:val="00F34758"/>
    <w:rsid w:val="00F35D76"/>
    <w:rsid w:val="00F360F1"/>
    <w:rsid w:val="00F3622E"/>
    <w:rsid w:val="00F36FFE"/>
    <w:rsid w:val="00F37C44"/>
    <w:rsid w:val="00F40A97"/>
    <w:rsid w:val="00F428AE"/>
    <w:rsid w:val="00F42F7B"/>
    <w:rsid w:val="00F43CCA"/>
    <w:rsid w:val="00F46379"/>
    <w:rsid w:val="00F47826"/>
    <w:rsid w:val="00F5022E"/>
    <w:rsid w:val="00F50DEF"/>
    <w:rsid w:val="00F50F54"/>
    <w:rsid w:val="00F51C57"/>
    <w:rsid w:val="00F5220C"/>
    <w:rsid w:val="00F554D5"/>
    <w:rsid w:val="00F55DEB"/>
    <w:rsid w:val="00F5666E"/>
    <w:rsid w:val="00F6059C"/>
    <w:rsid w:val="00F605EB"/>
    <w:rsid w:val="00F60683"/>
    <w:rsid w:val="00F61A76"/>
    <w:rsid w:val="00F634A4"/>
    <w:rsid w:val="00F65179"/>
    <w:rsid w:val="00F659E9"/>
    <w:rsid w:val="00F70BC5"/>
    <w:rsid w:val="00F71FAC"/>
    <w:rsid w:val="00F729BD"/>
    <w:rsid w:val="00F74655"/>
    <w:rsid w:val="00F747EA"/>
    <w:rsid w:val="00F75E5C"/>
    <w:rsid w:val="00F775D5"/>
    <w:rsid w:val="00F77AD9"/>
    <w:rsid w:val="00F77D13"/>
    <w:rsid w:val="00F80078"/>
    <w:rsid w:val="00F8047F"/>
    <w:rsid w:val="00F80798"/>
    <w:rsid w:val="00F816C3"/>
    <w:rsid w:val="00F825E8"/>
    <w:rsid w:val="00F87541"/>
    <w:rsid w:val="00F902B7"/>
    <w:rsid w:val="00F908A6"/>
    <w:rsid w:val="00F90AB0"/>
    <w:rsid w:val="00F9392A"/>
    <w:rsid w:val="00F93AAB"/>
    <w:rsid w:val="00F93BEC"/>
    <w:rsid w:val="00F943BF"/>
    <w:rsid w:val="00FA0726"/>
    <w:rsid w:val="00FA0A09"/>
    <w:rsid w:val="00FA281F"/>
    <w:rsid w:val="00FA2A8F"/>
    <w:rsid w:val="00FA7FC1"/>
    <w:rsid w:val="00FB13D1"/>
    <w:rsid w:val="00FB187C"/>
    <w:rsid w:val="00FB1BF5"/>
    <w:rsid w:val="00FB203D"/>
    <w:rsid w:val="00FB300E"/>
    <w:rsid w:val="00FB3FF0"/>
    <w:rsid w:val="00FB661B"/>
    <w:rsid w:val="00FB76B3"/>
    <w:rsid w:val="00FC276E"/>
    <w:rsid w:val="00FC3376"/>
    <w:rsid w:val="00FC3A5B"/>
    <w:rsid w:val="00FC5B15"/>
    <w:rsid w:val="00FC667C"/>
    <w:rsid w:val="00FC7F95"/>
    <w:rsid w:val="00FD13D6"/>
    <w:rsid w:val="00FD1CE4"/>
    <w:rsid w:val="00FD258D"/>
    <w:rsid w:val="00FD370C"/>
    <w:rsid w:val="00FD5B75"/>
    <w:rsid w:val="00FD7021"/>
    <w:rsid w:val="00FD7B3A"/>
    <w:rsid w:val="00FE47E7"/>
    <w:rsid w:val="00FE496B"/>
    <w:rsid w:val="00FE53C3"/>
    <w:rsid w:val="00FE54AE"/>
    <w:rsid w:val="00FF1C02"/>
    <w:rsid w:val="00FF25A1"/>
    <w:rsid w:val="00FF4AD9"/>
    <w:rsid w:val="00FF5D84"/>
    <w:rsid w:val="00FF6AE6"/>
    <w:rsid w:val="00FF703D"/>
    <w:rsid w:val="01C94A66"/>
    <w:rsid w:val="03315EF4"/>
    <w:rsid w:val="09D17F9B"/>
    <w:rsid w:val="12BB09E5"/>
    <w:rsid w:val="1DBE7BC5"/>
    <w:rsid w:val="251C5C1F"/>
    <w:rsid w:val="317F2DCF"/>
    <w:rsid w:val="31DB6A7E"/>
    <w:rsid w:val="35545C6F"/>
    <w:rsid w:val="3EBE23C1"/>
    <w:rsid w:val="40303B18"/>
    <w:rsid w:val="43E1584B"/>
    <w:rsid w:val="440A38FC"/>
    <w:rsid w:val="4A537166"/>
    <w:rsid w:val="55DA429A"/>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3066"/>
  <w15:docId w15:val="{76675967-4DFC-4600-B7FB-E0715958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Pr>
      <w:rFonts w:ascii="Calibri Light" w:eastAsia="Malgun Gothic" w:hAnsi="Calibri Light" w:cs="Malgun Gothic"/>
      <w:sz w:val="20"/>
      <w:szCs w:val="20"/>
      <w:lang w:val="en-GB" w:eastAsia="zh-CN"/>
    </w:rPr>
  </w:style>
  <w:style w:type="character" w:styleId="Strong">
    <w:name w:val="Strong"/>
    <w:basedOn w:val="DefaultParagraphFont"/>
    <w:uiPriority w:val="22"/>
    <w:qFormat/>
    <w:rsid w:val="009A5FEE"/>
    <w:rPr>
      <w:b/>
      <w:bCs/>
    </w:rPr>
  </w:style>
  <w:style w:type="character" w:styleId="Emphasis">
    <w:name w:val="Emphasis"/>
    <w:basedOn w:val="DefaultParagraphFont"/>
    <w:uiPriority w:val="20"/>
    <w:qFormat/>
    <w:rsid w:val="009A5FEE"/>
    <w:rPr>
      <w:i/>
      <w:iCs/>
    </w:rPr>
  </w:style>
  <w:style w:type="numbering" w:customStyle="1" w:styleId="CurrentList1">
    <w:name w:val="Current List1"/>
    <w:uiPriority w:val="99"/>
    <w:rsid w:val="00B4216B"/>
    <w:pPr>
      <w:numPr>
        <w:numId w:val="5"/>
      </w:numPr>
    </w:pPr>
  </w:style>
  <w:style w:type="paragraph" w:styleId="NormalWeb">
    <w:name w:val="Normal (Web)"/>
    <w:basedOn w:val="Normal"/>
    <w:uiPriority w:val="99"/>
    <w:semiHidden/>
    <w:unhideWhenUsed/>
    <w:rsid w:val="00136417"/>
    <w:pPr>
      <w:spacing w:before="100" w:beforeAutospacing="1" w:after="100" w:afterAutospacing="1" w:line="240" w:lineRule="auto"/>
    </w:pPr>
    <w:rPr>
      <w:rFonts w:ascii="Calibri" w:eastAsiaTheme="minorHAnsi" w:hAnsi="Calibri" w:cs="Calibri"/>
      <w:szCs w:val="22"/>
      <w:lang w:val="en-SE" w:eastAsia="en-SE"/>
    </w:rPr>
  </w:style>
  <w:style w:type="paragraph" w:customStyle="1" w:styleId="listparagraph0">
    <w:name w:val="listparagraph"/>
    <w:basedOn w:val="Normal"/>
    <w:uiPriority w:val="99"/>
    <w:semiHidden/>
    <w:rsid w:val="00136417"/>
    <w:pPr>
      <w:spacing w:before="100" w:beforeAutospacing="1" w:after="100" w:afterAutospacing="1" w:line="240" w:lineRule="auto"/>
    </w:pPr>
    <w:rPr>
      <w:rFonts w:ascii="Calibri" w:eastAsiaTheme="minorHAnsi" w:hAnsi="Calibri" w:cs="Calibri"/>
      <w:szCs w:val="22"/>
      <w:lang w:val="en-SE" w:eastAsia="en-SE"/>
    </w:rPr>
  </w:style>
  <w:style w:type="paragraph" w:customStyle="1" w:styleId="listparagraph3">
    <w:name w:val="listparagraph3"/>
    <w:basedOn w:val="Normal"/>
    <w:uiPriority w:val="99"/>
    <w:semiHidden/>
    <w:rsid w:val="00397618"/>
    <w:pPr>
      <w:spacing w:before="100" w:beforeAutospacing="1" w:after="100" w:afterAutospacing="1" w:line="240" w:lineRule="auto"/>
    </w:pPr>
    <w:rPr>
      <w:rFonts w:ascii="Calibri" w:eastAsiaTheme="minorHAnsi" w:hAnsi="Calibri" w:cs="Calibri"/>
      <w:szCs w:val="22"/>
      <w:lang w:val="en-SE" w:eastAsia="en-SE"/>
    </w:rPr>
  </w:style>
  <w:style w:type="paragraph" w:styleId="Revision">
    <w:name w:val="Revision"/>
    <w:hidden/>
    <w:uiPriority w:val="99"/>
    <w:semiHidden/>
    <w:rsid w:val="00BB4598"/>
    <w:rPr>
      <w:rFonts w:ascii="Malgun Gothic" w:eastAsia="Malgun Gothic" w:hAnsi="Malgun Gothic" w:cs="Malgun Gothic"/>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0282">
      <w:bodyDiv w:val="1"/>
      <w:marLeft w:val="0"/>
      <w:marRight w:val="0"/>
      <w:marTop w:val="0"/>
      <w:marBottom w:val="0"/>
      <w:divBdr>
        <w:top w:val="none" w:sz="0" w:space="0" w:color="auto"/>
        <w:left w:val="none" w:sz="0" w:space="0" w:color="auto"/>
        <w:bottom w:val="none" w:sz="0" w:space="0" w:color="auto"/>
        <w:right w:val="none" w:sz="0" w:space="0" w:color="auto"/>
      </w:divBdr>
    </w:div>
    <w:div w:id="144050432">
      <w:bodyDiv w:val="1"/>
      <w:marLeft w:val="0"/>
      <w:marRight w:val="0"/>
      <w:marTop w:val="0"/>
      <w:marBottom w:val="0"/>
      <w:divBdr>
        <w:top w:val="none" w:sz="0" w:space="0" w:color="auto"/>
        <w:left w:val="none" w:sz="0" w:space="0" w:color="auto"/>
        <w:bottom w:val="none" w:sz="0" w:space="0" w:color="auto"/>
        <w:right w:val="none" w:sz="0" w:space="0" w:color="auto"/>
      </w:divBdr>
    </w:div>
    <w:div w:id="146169771">
      <w:bodyDiv w:val="1"/>
      <w:marLeft w:val="0"/>
      <w:marRight w:val="0"/>
      <w:marTop w:val="0"/>
      <w:marBottom w:val="0"/>
      <w:divBdr>
        <w:top w:val="none" w:sz="0" w:space="0" w:color="auto"/>
        <w:left w:val="none" w:sz="0" w:space="0" w:color="auto"/>
        <w:bottom w:val="none" w:sz="0" w:space="0" w:color="auto"/>
        <w:right w:val="none" w:sz="0" w:space="0" w:color="auto"/>
      </w:divBdr>
    </w:div>
    <w:div w:id="335575049">
      <w:bodyDiv w:val="1"/>
      <w:marLeft w:val="0"/>
      <w:marRight w:val="0"/>
      <w:marTop w:val="0"/>
      <w:marBottom w:val="0"/>
      <w:divBdr>
        <w:top w:val="none" w:sz="0" w:space="0" w:color="auto"/>
        <w:left w:val="none" w:sz="0" w:space="0" w:color="auto"/>
        <w:bottom w:val="none" w:sz="0" w:space="0" w:color="auto"/>
        <w:right w:val="none" w:sz="0" w:space="0" w:color="auto"/>
      </w:divBdr>
    </w:div>
    <w:div w:id="336884736">
      <w:bodyDiv w:val="1"/>
      <w:marLeft w:val="0"/>
      <w:marRight w:val="0"/>
      <w:marTop w:val="0"/>
      <w:marBottom w:val="0"/>
      <w:divBdr>
        <w:top w:val="none" w:sz="0" w:space="0" w:color="auto"/>
        <w:left w:val="none" w:sz="0" w:space="0" w:color="auto"/>
        <w:bottom w:val="none" w:sz="0" w:space="0" w:color="auto"/>
        <w:right w:val="none" w:sz="0" w:space="0" w:color="auto"/>
      </w:divBdr>
    </w:div>
    <w:div w:id="502166439">
      <w:bodyDiv w:val="1"/>
      <w:marLeft w:val="0"/>
      <w:marRight w:val="0"/>
      <w:marTop w:val="0"/>
      <w:marBottom w:val="0"/>
      <w:divBdr>
        <w:top w:val="none" w:sz="0" w:space="0" w:color="auto"/>
        <w:left w:val="none" w:sz="0" w:space="0" w:color="auto"/>
        <w:bottom w:val="none" w:sz="0" w:space="0" w:color="auto"/>
        <w:right w:val="none" w:sz="0" w:space="0" w:color="auto"/>
      </w:divBdr>
    </w:div>
    <w:div w:id="581720188">
      <w:bodyDiv w:val="1"/>
      <w:marLeft w:val="0"/>
      <w:marRight w:val="0"/>
      <w:marTop w:val="0"/>
      <w:marBottom w:val="0"/>
      <w:divBdr>
        <w:top w:val="none" w:sz="0" w:space="0" w:color="auto"/>
        <w:left w:val="none" w:sz="0" w:space="0" w:color="auto"/>
        <w:bottom w:val="none" w:sz="0" w:space="0" w:color="auto"/>
        <w:right w:val="none" w:sz="0" w:space="0" w:color="auto"/>
      </w:divBdr>
    </w:div>
    <w:div w:id="1151599969">
      <w:bodyDiv w:val="1"/>
      <w:marLeft w:val="0"/>
      <w:marRight w:val="0"/>
      <w:marTop w:val="0"/>
      <w:marBottom w:val="0"/>
      <w:divBdr>
        <w:top w:val="none" w:sz="0" w:space="0" w:color="auto"/>
        <w:left w:val="none" w:sz="0" w:space="0" w:color="auto"/>
        <w:bottom w:val="none" w:sz="0" w:space="0" w:color="auto"/>
        <w:right w:val="none" w:sz="0" w:space="0" w:color="auto"/>
      </w:divBdr>
    </w:div>
    <w:div w:id="1225415038">
      <w:bodyDiv w:val="1"/>
      <w:marLeft w:val="0"/>
      <w:marRight w:val="0"/>
      <w:marTop w:val="0"/>
      <w:marBottom w:val="0"/>
      <w:divBdr>
        <w:top w:val="none" w:sz="0" w:space="0" w:color="auto"/>
        <w:left w:val="none" w:sz="0" w:space="0" w:color="auto"/>
        <w:bottom w:val="none" w:sz="0" w:space="0" w:color="auto"/>
        <w:right w:val="none" w:sz="0" w:space="0" w:color="auto"/>
      </w:divBdr>
    </w:div>
    <w:div w:id="1311326949">
      <w:bodyDiv w:val="1"/>
      <w:marLeft w:val="0"/>
      <w:marRight w:val="0"/>
      <w:marTop w:val="0"/>
      <w:marBottom w:val="0"/>
      <w:divBdr>
        <w:top w:val="none" w:sz="0" w:space="0" w:color="auto"/>
        <w:left w:val="none" w:sz="0" w:space="0" w:color="auto"/>
        <w:bottom w:val="none" w:sz="0" w:space="0" w:color="auto"/>
        <w:right w:val="none" w:sz="0" w:space="0" w:color="auto"/>
      </w:divBdr>
    </w:div>
    <w:div w:id="1392341772">
      <w:bodyDiv w:val="1"/>
      <w:marLeft w:val="0"/>
      <w:marRight w:val="0"/>
      <w:marTop w:val="0"/>
      <w:marBottom w:val="0"/>
      <w:divBdr>
        <w:top w:val="none" w:sz="0" w:space="0" w:color="auto"/>
        <w:left w:val="none" w:sz="0" w:space="0" w:color="auto"/>
        <w:bottom w:val="none" w:sz="0" w:space="0" w:color="auto"/>
        <w:right w:val="none" w:sz="0" w:space="0" w:color="auto"/>
      </w:divBdr>
    </w:div>
    <w:div w:id="1767070645">
      <w:bodyDiv w:val="1"/>
      <w:marLeft w:val="0"/>
      <w:marRight w:val="0"/>
      <w:marTop w:val="0"/>
      <w:marBottom w:val="0"/>
      <w:divBdr>
        <w:top w:val="none" w:sz="0" w:space="0" w:color="auto"/>
        <w:left w:val="none" w:sz="0" w:space="0" w:color="auto"/>
        <w:bottom w:val="none" w:sz="0" w:space="0" w:color="auto"/>
        <w:right w:val="none" w:sz="0" w:space="0" w:color="auto"/>
      </w:divBdr>
    </w:div>
    <w:div w:id="1914926721">
      <w:bodyDiv w:val="1"/>
      <w:marLeft w:val="0"/>
      <w:marRight w:val="0"/>
      <w:marTop w:val="0"/>
      <w:marBottom w:val="0"/>
      <w:divBdr>
        <w:top w:val="none" w:sz="0" w:space="0" w:color="auto"/>
        <w:left w:val="none" w:sz="0" w:space="0" w:color="auto"/>
        <w:bottom w:val="none" w:sz="0" w:space="0" w:color="auto"/>
        <w:right w:val="none" w:sz="0" w:space="0" w:color="auto"/>
      </w:divBdr>
    </w:div>
    <w:div w:id="1950770279">
      <w:bodyDiv w:val="1"/>
      <w:marLeft w:val="0"/>
      <w:marRight w:val="0"/>
      <w:marTop w:val="0"/>
      <w:marBottom w:val="0"/>
      <w:divBdr>
        <w:top w:val="none" w:sz="0" w:space="0" w:color="auto"/>
        <w:left w:val="none" w:sz="0" w:space="0" w:color="auto"/>
        <w:bottom w:val="none" w:sz="0" w:space="0" w:color="auto"/>
        <w:right w:val="none" w:sz="0" w:space="0" w:color="auto"/>
      </w:divBdr>
    </w:div>
    <w:div w:id="1960523013">
      <w:bodyDiv w:val="1"/>
      <w:marLeft w:val="0"/>
      <w:marRight w:val="0"/>
      <w:marTop w:val="0"/>
      <w:marBottom w:val="0"/>
      <w:divBdr>
        <w:top w:val="none" w:sz="0" w:space="0" w:color="auto"/>
        <w:left w:val="none" w:sz="0" w:space="0" w:color="auto"/>
        <w:bottom w:val="none" w:sz="0" w:space="0" w:color="auto"/>
        <w:right w:val="none" w:sz="0" w:space="0" w:color="auto"/>
      </w:divBdr>
    </w:div>
    <w:div w:id="1995642693">
      <w:bodyDiv w:val="1"/>
      <w:marLeft w:val="0"/>
      <w:marRight w:val="0"/>
      <w:marTop w:val="0"/>
      <w:marBottom w:val="0"/>
      <w:divBdr>
        <w:top w:val="none" w:sz="0" w:space="0" w:color="auto"/>
        <w:left w:val="none" w:sz="0" w:space="0" w:color="auto"/>
        <w:bottom w:val="none" w:sz="0" w:space="0" w:color="auto"/>
        <w:right w:val="none" w:sz="0" w:space="0" w:color="auto"/>
      </w:divBdr>
    </w:div>
    <w:div w:id="2044862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9D642.F77E10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7F6D33A-6EAD-4FF9-9787-4293541389FF}">
  <ds:schemaRefs>
    <ds:schemaRef ds:uri="http://schemas.openxmlformats.org/officeDocument/2006/bibliography"/>
  </ds:schemaRefs>
</ds:datastoreItem>
</file>

<file path=customXml/itemProps4.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5.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5</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828</cp:revision>
  <dcterms:created xsi:type="dcterms:W3CDTF">2022-10-12T00:46:00Z</dcterms:created>
  <dcterms:modified xsi:type="dcterms:W3CDTF">2023-08-23T23:02:00Z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2052-11.8.2.11716</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1665491352</vt:lpwstr>
  </property>
  <property fmtid="{D5CDD505-2E9C-101B-9397-08002B2CF9AE}" pid="12" name="ICV">
    <vt:lpwstr>2586A339573346078216BD2A6FD91047</vt:lpwstr>
  </property>
</Properties>
</file>